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F3" w:rsidRDefault="00BC1C95" w:rsidP="006537F3">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BAB IV</w:t>
      </w:r>
    </w:p>
    <w:p w:rsidR="00BC1C95" w:rsidRPr="006537F3" w:rsidRDefault="006537F3" w:rsidP="006537F3">
      <w:pPr>
        <w:spacing w:line="360" w:lineRule="auto"/>
        <w:jc w:val="center"/>
        <w:rPr>
          <w:rFonts w:asciiTheme="majorBidi" w:hAnsiTheme="majorBidi" w:cstheme="majorBidi"/>
          <w:b/>
          <w:bCs/>
          <w:sz w:val="24"/>
          <w:szCs w:val="24"/>
        </w:rPr>
      </w:pPr>
      <w:r w:rsidRPr="006537F3">
        <w:rPr>
          <w:rFonts w:asciiTheme="majorBidi" w:hAnsiTheme="majorBidi" w:cstheme="majorBidi"/>
          <w:b/>
          <w:bCs/>
          <w:sz w:val="24"/>
          <w:szCs w:val="24"/>
        </w:rPr>
        <w:t>LANDASAN YURIDIS PELAKSANAAN MANAJEMEN SUMBER DAYA MANUSIA PENDIDIKAN TINGGI KEAGAMAAN ISLAM</w:t>
      </w:r>
    </w:p>
    <w:p w:rsidR="00BC1C95" w:rsidRPr="00EF3C02" w:rsidRDefault="00BC1C95" w:rsidP="00BC1C95">
      <w:pPr>
        <w:spacing w:line="360" w:lineRule="auto"/>
        <w:ind w:firstLine="426"/>
        <w:jc w:val="both"/>
        <w:rPr>
          <w:rFonts w:asciiTheme="majorBidi" w:hAnsiTheme="majorBidi" w:cstheme="majorBidi"/>
          <w:sz w:val="24"/>
          <w:szCs w:val="24"/>
        </w:rPr>
      </w:pPr>
      <w:r w:rsidRPr="00EF3C02">
        <w:rPr>
          <w:rFonts w:asciiTheme="majorBidi" w:hAnsiTheme="majorBidi" w:cstheme="majorBidi"/>
          <w:sz w:val="24"/>
          <w:szCs w:val="24"/>
        </w:rPr>
        <w:t xml:space="preserve">Secara yuridis, pendidikan tinggi keagamaam Islam memiliki pengertian, hak dan kedudukan yang sama dengan pendidikan tinggi umum. Demikian pula regulasi yang mengaturnya sama-sama mengacu pada perundang-undangan </w:t>
      </w:r>
      <w:r>
        <w:rPr>
          <w:rFonts w:asciiTheme="majorBidi" w:hAnsiTheme="majorBidi" w:cstheme="majorBidi"/>
          <w:sz w:val="24"/>
          <w:szCs w:val="24"/>
        </w:rPr>
        <w:t xml:space="preserve">tentang </w:t>
      </w:r>
      <w:r w:rsidRPr="00EF3C02">
        <w:rPr>
          <w:rFonts w:asciiTheme="majorBidi" w:hAnsiTheme="majorBidi" w:cstheme="majorBidi"/>
          <w:sz w:val="24"/>
          <w:szCs w:val="24"/>
        </w:rPr>
        <w:t xml:space="preserve">pendidikan tinggi dalam sistem pendidikan nasional. </w:t>
      </w:r>
    </w:p>
    <w:p w:rsidR="00BC1C95" w:rsidRPr="00EF3C02" w:rsidRDefault="00BC1C95" w:rsidP="00BC1C95">
      <w:pPr>
        <w:spacing w:line="360" w:lineRule="auto"/>
        <w:ind w:firstLine="426"/>
        <w:jc w:val="both"/>
        <w:rPr>
          <w:rFonts w:asciiTheme="majorBidi" w:hAnsiTheme="majorBidi" w:cstheme="majorBidi"/>
          <w:sz w:val="24"/>
          <w:szCs w:val="24"/>
        </w:rPr>
      </w:pPr>
      <w:r w:rsidRPr="00EF3C02">
        <w:rPr>
          <w:rFonts w:asciiTheme="majorBidi" w:hAnsiTheme="majorBidi" w:cstheme="majorBidi"/>
          <w:sz w:val="24"/>
          <w:szCs w:val="24"/>
        </w:rPr>
        <w:t>Pengertian pendidikan tinggi dalam regulasi pendidikan Inonesia, diantaranya dapat detemukan dalam beberapa regulasi berikut:</w:t>
      </w:r>
    </w:p>
    <w:p w:rsidR="00BC1C95" w:rsidRPr="00825480" w:rsidRDefault="00BC1C95" w:rsidP="00BC1C95">
      <w:pPr>
        <w:pStyle w:val="ListParagraph"/>
        <w:numPr>
          <w:ilvl w:val="0"/>
          <w:numId w:val="2"/>
        </w:numPr>
        <w:spacing w:line="360" w:lineRule="auto"/>
        <w:jc w:val="both"/>
        <w:rPr>
          <w:rFonts w:asciiTheme="majorBidi" w:hAnsiTheme="majorBidi" w:cstheme="majorBidi"/>
          <w:i/>
          <w:iCs/>
          <w:sz w:val="24"/>
          <w:szCs w:val="24"/>
        </w:rPr>
      </w:pPr>
      <w:r w:rsidRPr="00EF3C02">
        <w:rPr>
          <w:rFonts w:asciiTheme="majorBidi" w:hAnsiTheme="majorBidi" w:cstheme="majorBidi"/>
          <w:sz w:val="24"/>
          <w:szCs w:val="24"/>
        </w:rPr>
        <w:t xml:space="preserve">Pasal 19 Undang-Undang (UU) No 20 tahun 2003 Negara Republik Indonesia tentang Sistem Pendidikan Nasioanl berbunyi: </w:t>
      </w:r>
      <w:r w:rsidRPr="00825480">
        <w:rPr>
          <w:rFonts w:asciiTheme="majorBidi" w:hAnsiTheme="majorBidi" w:cstheme="majorBidi"/>
          <w:i/>
          <w:iCs/>
          <w:color w:val="000000"/>
          <w:sz w:val="24"/>
          <w:szCs w:val="24"/>
        </w:rPr>
        <w:t>(1) Pendidikan tinggi merupakan jenjang pendidikan setelah pendidikan menengah yang mencakup program pendidikan diploma, sarjana, magister, spesialis, dan doktor yang diselenggarakan oleh pendidikan tinggi.</w:t>
      </w:r>
    </w:p>
    <w:p w:rsidR="00BC1C95" w:rsidRPr="00EF3C02" w:rsidRDefault="00BC1C95" w:rsidP="00BC1C95">
      <w:pPr>
        <w:pStyle w:val="ListParagraph"/>
        <w:numPr>
          <w:ilvl w:val="0"/>
          <w:numId w:val="2"/>
        </w:numPr>
        <w:spacing w:line="360" w:lineRule="auto"/>
        <w:jc w:val="both"/>
        <w:rPr>
          <w:rFonts w:asciiTheme="majorBidi" w:hAnsiTheme="majorBidi" w:cstheme="majorBidi"/>
          <w:sz w:val="24"/>
          <w:szCs w:val="24"/>
        </w:rPr>
      </w:pPr>
      <w:r w:rsidRPr="00EF3C02">
        <w:rPr>
          <w:rFonts w:asciiTheme="majorBidi" w:hAnsiTheme="majorBidi" w:cstheme="majorBidi"/>
          <w:sz w:val="24"/>
          <w:szCs w:val="24"/>
        </w:rPr>
        <w:t xml:space="preserve">Pasal 1 ayat (2) Undang-Undang no 12 tanu 2012 tentang Pendidikan Tinggi berbunyi: </w:t>
      </w:r>
      <w:r w:rsidRPr="00825480">
        <w:rPr>
          <w:rFonts w:asciiTheme="majorBidi" w:hAnsiTheme="majorBidi" w:cstheme="majorBidi"/>
          <w:i/>
          <w:iCs/>
          <w:color w:val="000000"/>
          <w:sz w:val="24"/>
          <w:szCs w:val="24"/>
        </w:rPr>
        <w:t>Pendidikan tinggi adalah jenjang pendidikan setelah pendidikan menengah yang mencakup program diploma, program sarjana, program magister, program doktor, dan program profesi, serta program spesialis yang diselenggarakan oleh pendidikan tinggi berdasarkan kebudayaan Indonesia.</w:t>
      </w:r>
    </w:p>
    <w:p w:rsidR="00BC1C95" w:rsidRPr="00EF3C02" w:rsidRDefault="00BC1C95" w:rsidP="00BC1C95">
      <w:pPr>
        <w:pStyle w:val="ListParagraph"/>
        <w:numPr>
          <w:ilvl w:val="0"/>
          <w:numId w:val="2"/>
        </w:numPr>
        <w:spacing w:line="360" w:lineRule="auto"/>
        <w:jc w:val="both"/>
        <w:rPr>
          <w:rFonts w:asciiTheme="majorBidi" w:hAnsiTheme="majorBidi" w:cstheme="majorBidi"/>
          <w:sz w:val="24"/>
          <w:szCs w:val="24"/>
        </w:rPr>
      </w:pPr>
      <w:r w:rsidRPr="00EF3C02">
        <w:rPr>
          <w:rFonts w:asciiTheme="majorBidi" w:hAnsiTheme="majorBidi" w:cstheme="majorBidi"/>
          <w:sz w:val="24"/>
          <w:szCs w:val="24"/>
        </w:rPr>
        <w:t xml:space="preserve">Pasal 1 ayat (3) Peraturan Pemerintah (PP) Republik Indonesia No 4 tahun 2014 tentag Pengelolaan Pendidikan Tinggi berbunyi: </w:t>
      </w:r>
      <w:r w:rsidRPr="00825480">
        <w:rPr>
          <w:rFonts w:asciiTheme="majorBidi" w:hAnsiTheme="majorBidi" w:cstheme="majorBidi"/>
          <w:i/>
          <w:iCs/>
          <w:color w:val="000000"/>
          <w:sz w:val="24"/>
          <w:szCs w:val="24"/>
        </w:rPr>
        <w:t>Pendidikan tinggi adalah jenjang pendidikan setelah pendidikan menengah yang mencakup program diploma, program sarjana, program magister, program doktor, dan program profesi, serta program spesialis yang diselenggarakan oleh pendidikan tinggi berdasarkan kebudayaan Indonesia.</w:t>
      </w:r>
    </w:p>
    <w:p w:rsidR="00BC1C95" w:rsidRPr="00EF3C02" w:rsidRDefault="00BC1C95" w:rsidP="00BC1C95">
      <w:pPr>
        <w:spacing w:line="360" w:lineRule="auto"/>
        <w:ind w:firstLine="426"/>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Sedangkan manajemenen pendidikan tinggi memiliki pengertian yang sama dengan </w:t>
      </w:r>
      <w:r w:rsidRPr="00EF3C02">
        <w:rPr>
          <w:rFonts w:asciiTheme="majorBidi" w:hAnsiTheme="majorBidi" w:cstheme="majorBidi"/>
          <w:color w:val="000000"/>
          <w:sz w:val="24"/>
          <w:szCs w:val="24"/>
        </w:rPr>
        <w:t>pengelolaan perguruan tinggi</w:t>
      </w:r>
      <w:r>
        <w:rPr>
          <w:rFonts w:asciiTheme="majorBidi" w:hAnsiTheme="majorBidi" w:cstheme="majorBidi"/>
          <w:color w:val="000000"/>
          <w:sz w:val="24"/>
          <w:szCs w:val="24"/>
        </w:rPr>
        <w:t xml:space="preserve">, yaitu </w:t>
      </w:r>
      <w:r w:rsidRPr="00EF3C02">
        <w:rPr>
          <w:rFonts w:asciiTheme="majorBidi" w:hAnsiTheme="majorBidi" w:cstheme="majorBidi"/>
          <w:color w:val="000000"/>
          <w:sz w:val="24"/>
          <w:szCs w:val="24"/>
        </w:rPr>
        <w:t xml:space="preserve">pelaksanaan jalur, jenjang, dan jenis </w:t>
      </w:r>
      <w:r w:rsidRPr="00EF3C02">
        <w:rPr>
          <w:rFonts w:asciiTheme="majorBidi" w:hAnsiTheme="majorBidi" w:cstheme="majorBidi"/>
          <w:color w:val="000000"/>
          <w:sz w:val="24"/>
          <w:szCs w:val="24"/>
        </w:rPr>
        <w:lastRenderedPageBreak/>
        <w:t>pendidikan tinggi melalui pendirian perguruan tinggi oleh pemerintah dan/atau Badan Penyelenggara untuk mencapai tujuan Pendidikan Tinggi.</w:t>
      </w:r>
      <w:r w:rsidRPr="00EF3C02">
        <w:rPr>
          <w:rStyle w:val="FootnoteReference"/>
          <w:rFonts w:asciiTheme="majorBidi" w:hAnsiTheme="majorBidi" w:cstheme="majorBidi"/>
          <w:color w:val="000000"/>
          <w:sz w:val="24"/>
          <w:szCs w:val="24"/>
        </w:rPr>
        <w:footnoteReference w:id="2"/>
      </w:r>
    </w:p>
    <w:p w:rsidR="00BC1C95" w:rsidRDefault="00BC1C95" w:rsidP="00BC1C95">
      <w:pPr>
        <w:spacing w:line="360" w:lineRule="auto"/>
        <w:ind w:firstLine="426"/>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Demikian pula regulasi</w:t>
      </w:r>
      <w:r>
        <w:rPr>
          <w:rFonts w:asciiTheme="majorBidi" w:hAnsiTheme="majorBidi" w:cstheme="majorBidi"/>
          <w:color w:val="000000"/>
          <w:sz w:val="24"/>
          <w:szCs w:val="24"/>
        </w:rPr>
        <w:t xml:space="preserve"> pendidikan</w:t>
      </w:r>
      <w:r w:rsidRPr="00EF3C02">
        <w:rPr>
          <w:rFonts w:asciiTheme="majorBidi" w:hAnsiTheme="majorBidi" w:cstheme="majorBidi"/>
          <w:color w:val="000000"/>
          <w:sz w:val="24"/>
          <w:szCs w:val="24"/>
        </w:rPr>
        <w:t xml:space="preserve"> mengatur secara bersamaan antara perguruan tinggi negeri dan swasta. Yang membedakan dari keduanya adalah penyelenggaranya. Di mana pergur</w:t>
      </w:r>
      <w:r>
        <w:rPr>
          <w:rFonts w:asciiTheme="majorBidi" w:hAnsiTheme="majorBidi" w:cstheme="majorBidi"/>
          <w:color w:val="000000"/>
          <w:sz w:val="24"/>
          <w:szCs w:val="24"/>
        </w:rPr>
        <w:t>u</w:t>
      </w:r>
      <w:r w:rsidRPr="00EF3C02">
        <w:rPr>
          <w:rFonts w:asciiTheme="majorBidi" w:hAnsiTheme="majorBidi" w:cstheme="majorBidi"/>
          <w:color w:val="000000"/>
          <w:sz w:val="24"/>
          <w:szCs w:val="24"/>
        </w:rPr>
        <w:t xml:space="preserve">an tinggi negeri (PTN) didirikan dan dikelola oleh pemeritah, sementara perguruan tinggi swasta didirikan dan dikelola oleh </w:t>
      </w:r>
      <w:r>
        <w:rPr>
          <w:rFonts w:asciiTheme="majorBidi" w:hAnsiTheme="majorBidi" w:cstheme="majorBidi"/>
          <w:color w:val="000000"/>
          <w:sz w:val="24"/>
          <w:szCs w:val="24"/>
        </w:rPr>
        <w:t>m</w:t>
      </w:r>
      <w:r w:rsidRPr="00EF3C02">
        <w:rPr>
          <w:rFonts w:asciiTheme="majorBidi" w:hAnsiTheme="majorBidi" w:cstheme="majorBidi"/>
          <w:color w:val="000000"/>
          <w:sz w:val="24"/>
          <w:szCs w:val="24"/>
        </w:rPr>
        <w:t xml:space="preserve">asyarakat. Hal ini sesuai dengan </w:t>
      </w:r>
      <w:r w:rsidRPr="00825480">
        <w:rPr>
          <w:rFonts w:asciiTheme="majorBidi" w:hAnsiTheme="majorBidi" w:cstheme="majorBidi"/>
          <w:sz w:val="26"/>
          <w:szCs w:val="26"/>
        </w:rPr>
        <w:t>Peraturan Pemerintah (PP) Republik Indonesia No 4 tahun 2014 tentag Pengelolaan Pendidikan Tinggi</w:t>
      </w:r>
      <w:r w:rsidRPr="00EF3C02">
        <w:rPr>
          <w:rFonts w:asciiTheme="majorBidi" w:hAnsiTheme="majorBidi" w:cstheme="majorBidi"/>
          <w:color w:val="000000"/>
          <w:sz w:val="24"/>
          <w:szCs w:val="24"/>
        </w:rPr>
        <w:t xml:space="preserve">: </w:t>
      </w:r>
      <w:r w:rsidRPr="00825480">
        <w:rPr>
          <w:rFonts w:asciiTheme="majorBidi" w:hAnsiTheme="majorBidi" w:cstheme="majorBidi"/>
          <w:i/>
          <w:iCs/>
          <w:color w:val="000000"/>
          <w:sz w:val="24"/>
          <w:szCs w:val="24"/>
        </w:rPr>
        <w:t>Perguruan Tinggi Negeri yang selanjutnya disingkat PTN adalah perguruan tinggi yang didirikan dan/atau diselenggarakan oleh Pemerintah</w:t>
      </w:r>
      <w:r w:rsidRPr="00EF3C02">
        <w:rPr>
          <w:rFonts w:asciiTheme="majorBidi" w:hAnsiTheme="majorBidi" w:cstheme="majorBidi"/>
          <w:color w:val="000000"/>
          <w:sz w:val="24"/>
          <w:szCs w:val="24"/>
        </w:rPr>
        <w:t>.</w:t>
      </w:r>
      <w:r w:rsidRPr="00EF3C02">
        <w:rPr>
          <w:rStyle w:val="FootnoteReference"/>
          <w:rFonts w:asciiTheme="majorBidi" w:hAnsiTheme="majorBidi" w:cstheme="majorBidi"/>
          <w:color w:val="000000"/>
          <w:sz w:val="24"/>
          <w:szCs w:val="24"/>
        </w:rPr>
        <w:footnoteReference w:id="3"/>
      </w:r>
      <w:r w:rsidRPr="00EF3C02">
        <w:rPr>
          <w:rFonts w:asciiTheme="majorBidi" w:hAnsiTheme="majorBidi" w:cstheme="majorBidi"/>
          <w:color w:val="000000"/>
          <w:sz w:val="24"/>
          <w:szCs w:val="24"/>
        </w:rPr>
        <w:t xml:space="preserve"> </w:t>
      </w:r>
      <w:r w:rsidRPr="00825480">
        <w:rPr>
          <w:rFonts w:asciiTheme="majorBidi" w:hAnsiTheme="majorBidi" w:cstheme="majorBidi"/>
          <w:i/>
          <w:iCs/>
          <w:color w:val="000000"/>
          <w:sz w:val="24"/>
          <w:szCs w:val="24"/>
        </w:rPr>
        <w:t>Perguruan Tinggi Swasta yang selanjutnya disingkat PTS adadalah perguruan tinggi yang didirikan dan/atau diselenggarakan oleh masyarakat</w:t>
      </w:r>
      <w:r w:rsidRPr="00EF3C02">
        <w:rPr>
          <w:rFonts w:asciiTheme="majorBidi" w:hAnsiTheme="majorBidi" w:cstheme="majorBidi"/>
          <w:color w:val="000000"/>
          <w:sz w:val="24"/>
          <w:szCs w:val="24"/>
        </w:rPr>
        <w:t>.</w:t>
      </w:r>
      <w:r w:rsidRPr="00EF3C02">
        <w:rPr>
          <w:rStyle w:val="FootnoteReference"/>
          <w:rFonts w:asciiTheme="majorBidi" w:hAnsiTheme="majorBidi" w:cstheme="majorBidi"/>
          <w:color w:val="000000"/>
          <w:sz w:val="24"/>
          <w:szCs w:val="24"/>
        </w:rPr>
        <w:footnoteReference w:id="4"/>
      </w:r>
      <w:r w:rsidRPr="00EF3C02">
        <w:rPr>
          <w:rFonts w:asciiTheme="majorBidi" w:hAnsiTheme="majorBidi" w:cstheme="majorBidi"/>
          <w:color w:val="000000"/>
          <w:sz w:val="24"/>
          <w:szCs w:val="24"/>
        </w:rPr>
        <w:t xml:space="preserve"> </w:t>
      </w:r>
    </w:p>
    <w:p w:rsidR="00BC1C95" w:rsidRPr="00EF3C02" w:rsidRDefault="00BC1C95" w:rsidP="00BC1C95">
      <w:pPr>
        <w:spacing w:line="360" w:lineRule="auto"/>
        <w:ind w:firstLine="426"/>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Penyelenggaraan perguruan tinggi bersifat otonomi, dan menganut sistem kebebasan mimbar akademiki. Hal ini sesuai bunyi </w:t>
      </w:r>
      <w:r w:rsidRPr="00825480">
        <w:rPr>
          <w:rFonts w:asciiTheme="majorBidi" w:hAnsiTheme="majorBidi" w:cstheme="majorBidi"/>
          <w:sz w:val="24"/>
          <w:szCs w:val="24"/>
        </w:rPr>
        <w:t>Undang-undang RI no 20 tahun 2003 tentang Sistem pendidikan Nasioanl</w:t>
      </w:r>
      <w:r>
        <w:rPr>
          <w:rFonts w:asciiTheme="majorBidi" w:hAnsiTheme="majorBidi" w:cstheme="majorBidi"/>
          <w:sz w:val="24"/>
          <w:szCs w:val="24"/>
        </w:rPr>
        <w:t xml:space="preserve"> pasal 24: </w:t>
      </w:r>
      <w:r w:rsidRPr="00EF3C02">
        <w:rPr>
          <w:rFonts w:asciiTheme="majorBidi" w:hAnsiTheme="majorBidi" w:cstheme="majorBidi"/>
          <w:color w:val="000000"/>
          <w:sz w:val="24"/>
          <w:szCs w:val="24"/>
        </w:rPr>
        <w:t xml:space="preserve">(1) </w:t>
      </w:r>
      <w:r w:rsidRPr="00825480">
        <w:rPr>
          <w:rFonts w:asciiTheme="majorBidi" w:hAnsiTheme="majorBidi" w:cstheme="majorBidi"/>
          <w:i/>
          <w:iCs/>
          <w:color w:val="000000"/>
          <w:sz w:val="24"/>
          <w:szCs w:val="24"/>
        </w:rPr>
        <w:t>Dalam penyelenggaraan pendidikan dan pengembangan ilmu pengetahuan, pada perguruan tinggi berlaku kebebasan akademik dan kebebasan mimbar akademik serta otonomi keilmuan. (2) Perguruan tinggi memiliki otonomi untuk mengelola sendiri lembaganya sebagai pusat penyelenggaraan pendidikan tinggi, penelitian ilmiah, dan pengabdian kepada masyarakat.</w:t>
      </w:r>
      <w:r w:rsidRPr="00EF3C02">
        <w:rPr>
          <w:rStyle w:val="FootnoteReference"/>
          <w:rFonts w:asciiTheme="majorBidi" w:hAnsiTheme="majorBidi" w:cstheme="majorBidi"/>
          <w:color w:val="000000"/>
          <w:sz w:val="24"/>
          <w:szCs w:val="24"/>
        </w:rPr>
        <w:footnoteReference w:id="5"/>
      </w:r>
    </w:p>
    <w:p w:rsidR="00BC1C95" w:rsidRPr="00EF3C02" w:rsidRDefault="00BC1C95" w:rsidP="00BC1C95">
      <w:pPr>
        <w:spacing w:line="360" w:lineRule="auto"/>
        <w:ind w:firstLine="426"/>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Pengaturan Pengelolaan Perguruan Tinggi meliputi: </w:t>
      </w:r>
      <w:r w:rsidRPr="00825480">
        <w:rPr>
          <w:rFonts w:asciiTheme="majorBidi" w:hAnsiTheme="majorBidi" w:cstheme="majorBidi"/>
          <w:i/>
          <w:iCs/>
          <w:color w:val="000000"/>
          <w:sz w:val="24"/>
          <w:szCs w:val="24"/>
        </w:rPr>
        <w:t>a) otonomi Perguruan Tinggi; b) pola Pengelolaan Perguruan Tinggi; c) tata kelola Perguruan Tinggi; dan d) akuntabilitas publik.</w:t>
      </w:r>
      <w:r w:rsidRPr="00EF3C02">
        <w:rPr>
          <w:rStyle w:val="FootnoteReference"/>
          <w:rFonts w:asciiTheme="majorBidi" w:hAnsiTheme="majorBidi" w:cstheme="majorBidi"/>
          <w:color w:val="000000"/>
          <w:sz w:val="24"/>
          <w:szCs w:val="24"/>
        </w:rPr>
        <w:footnoteReference w:id="6"/>
      </w:r>
      <w:r w:rsidRPr="00EF3C02">
        <w:rPr>
          <w:rFonts w:asciiTheme="majorBidi" w:hAnsiTheme="majorBidi" w:cstheme="majorBidi"/>
          <w:color w:val="000000"/>
          <w:sz w:val="24"/>
          <w:szCs w:val="24"/>
        </w:rPr>
        <w:t xml:space="preserve"> </w:t>
      </w:r>
    </w:p>
    <w:p w:rsidR="00BC1C95" w:rsidRPr="00EF3C02" w:rsidRDefault="00BC1C95" w:rsidP="00BC1C95">
      <w:pPr>
        <w:spacing w:line="360" w:lineRule="auto"/>
        <w:ind w:firstLine="426"/>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lastRenderedPageBreak/>
        <w:t xml:space="preserve">Otonomi perguruan tinggi, </w:t>
      </w:r>
      <w:r>
        <w:rPr>
          <w:rFonts w:asciiTheme="majorBidi" w:hAnsiTheme="majorBidi" w:cstheme="majorBidi"/>
          <w:color w:val="000000"/>
          <w:sz w:val="24"/>
          <w:szCs w:val="24"/>
        </w:rPr>
        <w:t xml:space="preserve">meliputi semua aspek, </w:t>
      </w:r>
      <w:r w:rsidRPr="00EF3C02">
        <w:rPr>
          <w:rFonts w:asciiTheme="majorBidi" w:hAnsiTheme="majorBidi" w:cstheme="majorBidi"/>
          <w:color w:val="000000"/>
          <w:sz w:val="24"/>
          <w:szCs w:val="24"/>
        </w:rPr>
        <w:t xml:space="preserve">termasuk dalam hal pengelolaan sumber daya manusia (ketenagaan). Hal ini sesuia dengan bunyi </w:t>
      </w:r>
      <w:r w:rsidRPr="00EE1D97">
        <w:rPr>
          <w:rFonts w:asciiTheme="majorBidi" w:hAnsiTheme="majorBidi" w:cstheme="majorBidi"/>
          <w:sz w:val="24"/>
          <w:szCs w:val="24"/>
        </w:rPr>
        <w:t>Peraturan Pemerintah (PP) Republik Indonesia No 4 tahun 2014 tentag Pengelolaan Pendidikan Tinggi</w:t>
      </w:r>
      <w:r>
        <w:rPr>
          <w:rFonts w:asciiTheme="majorBidi" w:hAnsiTheme="majorBidi" w:cstheme="majorBidi"/>
          <w:sz w:val="24"/>
          <w:szCs w:val="24"/>
        </w:rPr>
        <w:t>:</w:t>
      </w:r>
      <w:r>
        <w:rPr>
          <w:rFonts w:asciiTheme="majorBidi" w:hAnsiTheme="majorBidi" w:cstheme="majorBidi"/>
          <w:color w:val="000000"/>
          <w:sz w:val="24"/>
          <w:szCs w:val="24"/>
        </w:rPr>
        <w:t xml:space="preserve"> “</w:t>
      </w:r>
      <w:r w:rsidRPr="00EE1D97">
        <w:rPr>
          <w:rFonts w:asciiTheme="majorBidi" w:hAnsiTheme="majorBidi" w:cstheme="majorBidi"/>
          <w:i/>
          <w:iCs/>
          <w:color w:val="000000"/>
          <w:sz w:val="24"/>
          <w:szCs w:val="24"/>
        </w:rPr>
        <w:t>otonomi di bidang nonakademik yang meliputi penetapan norma dan kebijakan operasional serta pelaksanaan:1. organisasi; 2. keuangan; 3. kemahasiswaan; 4. ketenagaan; dan 5. sarana prasarana, sesuai dengan ketentuan peraturan perundang-undangan.</w:t>
      </w:r>
      <w:r w:rsidRPr="00EF3C02">
        <w:rPr>
          <w:rStyle w:val="FootnoteReference"/>
          <w:rFonts w:asciiTheme="majorBidi" w:hAnsiTheme="majorBidi" w:cstheme="majorBidi"/>
          <w:color w:val="000000"/>
          <w:sz w:val="24"/>
          <w:szCs w:val="24"/>
        </w:rPr>
        <w:footnoteReference w:id="7"/>
      </w:r>
    </w:p>
    <w:p w:rsidR="00BC1C95" w:rsidRPr="00EF3C02"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Dalam hal otonomi ketenagaan, peraturan pemerintah </w:t>
      </w:r>
      <w:r>
        <w:rPr>
          <w:rFonts w:asciiTheme="majorBidi" w:hAnsiTheme="majorBidi" w:cstheme="majorBidi"/>
          <w:color w:val="000000"/>
          <w:sz w:val="24"/>
          <w:szCs w:val="24"/>
        </w:rPr>
        <w:t>tersebut menyebutkan......”</w:t>
      </w:r>
      <w:r w:rsidRPr="00EE1D97">
        <w:rPr>
          <w:rFonts w:asciiTheme="majorBidi" w:hAnsiTheme="majorBidi" w:cstheme="majorBidi"/>
          <w:i/>
          <w:iCs/>
          <w:color w:val="000000"/>
          <w:sz w:val="24"/>
          <w:szCs w:val="24"/>
        </w:rPr>
        <w:t>penetapan norma, kebijakan operasional, dan pelaksanaan ketenagaan terdiri atas: a) Penugasan dan pembinaan sumber daya manusia, dan b) penyusunan target kerja dan jenjang karir sumber daya manusia.</w:t>
      </w:r>
      <w:r w:rsidRPr="00EE1D97">
        <w:rPr>
          <w:rStyle w:val="FootnoteReference"/>
          <w:rFonts w:asciiTheme="majorBidi" w:hAnsiTheme="majorBidi" w:cstheme="majorBidi"/>
          <w:i/>
          <w:iCs/>
          <w:color w:val="000000"/>
          <w:sz w:val="24"/>
          <w:szCs w:val="24"/>
        </w:rPr>
        <w:footnoteReference w:id="8"/>
      </w:r>
      <w:r w:rsidRPr="00EE1D97">
        <w:rPr>
          <w:rFonts w:asciiTheme="majorBidi" w:hAnsiTheme="majorBidi" w:cstheme="majorBidi"/>
          <w:i/>
          <w:iCs/>
          <w:color w:val="000000"/>
          <w:sz w:val="24"/>
          <w:szCs w:val="24"/>
        </w:rPr>
        <w:t xml:space="preserve"> Sedangkan otonomi ketenagaan bagi perguruan tinggi negeri dengan status Badan Hukum, diberikan tambahan otonomi yang lebih luas, sesuai bunyi peraturan pemerintah......”penetapan norma, kebijakan operasional dan pelaksanaan ketenagaan terdiri atas: a) persyaratan dan prosedur penerimaan sumber daya manusia; b) penugasan, pembinaan, dan pengembangan sumber daya manusia; c) penyusunan target kerja dan jenjang karir sumber daya manusia; dan d) pemberhentian sumber daya manusia</w:t>
      </w:r>
      <w:r>
        <w:rPr>
          <w:rFonts w:asciiTheme="majorBidi" w:hAnsiTheme="majorBidi" w:cstheme="majorBidi"/>
          <w:i/>
          <w:iCs/>
          <w:color w:val="000000"/>
          <w:sz w:val="24"/>
          <w:szCs w:val="24"/>
        </w:rPr>
        <w:t>.</w:t>
      </w:r>
      <w:r w:rsidRPr="00EF3C02">
        <w:rPr>
          <w:rStyle w:val="FootnoteReference"/>
          <w:rFonts w:asciiTheme="majorBidi" w:hAnsiTheme="majorBidi" w:cstheme="majorBidi"/>
          <w:color w:val="000000"/>
          <w:sz w:val="24"/>
          <w:szCs w:val="24"/>
        </w:rPr>
        <w:footnoteReference w:id="9"/>
      </w:r>
    </w:p>
    <w:p w:rsidR="00BC1C95" w:rsidRPr="00EF3C02"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Bagian terpenting dari sumber daya manusia pendidikan tinggi adalah dosen. </w:t>
      </w:r>
      <w:r w:rsidRPr="00EF3C02">
        <w:rPr>
          <w:rFonts w:asciiTheme="majorBidi" w:hAnsiTheme="majorBidi" w:cstheme="majorBidi"/>
          <w:color w:val="000000"/>
          <w:sz w:val="24"/>
          <w:szCs w:val="24"/>
        </w:rPr>
        <w:t>Dosen sebagai pendidik pada pendidikan tinggi dituntut memiliki kualifikasi akaddemik dan kompetensi, sebagaimana diamanatkan dala peraturan pemerintah no 19 tahun 2005 pasal 28: “</w:t>
      </w:r>
      <w:r w:rsidRPr="00EE1D97">
        <w:rPr>
          <w:rFonts w:asciiTheme="majorBidi" w:hAnsiTheme="majorBidi" w:cstheme="majorBidi"/>
          <w:i/>
          <w:iCs/>
          <w:color w:val="000000"/>
          <w:sz w:val="24"/>
          <w:szCs w:val="24"/>
        </w:rPr>
        <w:t xml:space="preserve">(1) Pendidik harus memiliki kualifikasi akademik dan kompetensi sebagai agen pembelajaran, sehat jasmani dan rohani, serta memiliki kemampuan untuk mewujudkan tujuan pendidikan nasional. (2) Kualifikasi akademik sebagaimana dimaksud pada ayat (1)adalah tingkat pendidikan minimal yang harus dipenuhi oleh seorang pendidik yang dibuktikan </w:t>
      </w:r>
      <w:r w:rsidRPr="00EE1D97">
        <w:rPr>
          <w:rFonts w:asciiTheme="majorBidi" w:hAnsiTheme="majorBidi" w:cstheme="majorBidi"/>
          <w:i/>
          <w:iCs/>
          <w:color w:val="000000"/>
          <w:sz w:val="24"/>
          <w:szCs w:val="24"/>
        </w:rPr>
        <w:lastRenderedPageBreak/>
        <w:t>dengan ijazah dan/atau sertifikat keahlian yang relevan sesuai ketentuan perundang-undangan yang berlaku.</w:t>
      </w:r>
      <w:r w:rsidRPr="00EF3C02">
        <w:rPr>
          <w:rStyle w:val="FootnoteReference"/>
          <w:rFonts w:asciiTheme="majorBidi" w:hAnsiTheme="majorBidi" w:cstheme="majorBidi"/>
          <w:color w:val="000000"/>
          <w:sz w:val="24"/>
          <w:szCs w:val="24"/>
        </w:rPr>
        <w:footnoteReference w:id="10"/>
      </w:r>
    </w:p>
    <w:p w:rsidR="00BC1C95" w:rsidRPr="00EF3C02"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Kualifikasi yang dimaksud dijelaskan dalam pasal 31 dari PP no 19 tahun 2005 tersebut, sebagaimana berbunyi: </w:t>
      </w:r>
      <w:r w:rsidRPr="00EE1D97">
        <w:rPr>
          <w:rFonts w:asciiTheme="majorBidi" w:hAnsiTheme="majorBidi" w:cstheme="majorBidi"/>
          <w:i/>
          <w:iCs/>
          <w:color w:val="000000"/>
          <w:sz w:val="24"/>
          <w:szCs w:val="24"/>
        </w:rPr>
        <w:t>(1) Pendidik pada pendidikan tinggi memiliki kualifikasi pendidikan minimum: a. lulusan diploma empat (D-IV) atau sarjana (S1) untuk program diploma; b. lulusan program magister (S2) untuk program sarjana (S1); dan c. lulusan program doktor (S3) untuk program magister (S2) dan program doktor (S3). (2) Selain kualifikasi pendidik sebagaimana dimaksudkan pada ayat (1) butir a, pendidik pada program vokasi harus memiliki sertifikat kompetensi sesuai dengan tingkat dan bidang keahlian yang diajarkan yang dihasilkan oleh perguruan tinggi. (3) Selain kualifikasi pendidik sebagaimana dimaksudkan pada ayat (1) butir b, pendidik pada program profesi harus memiliki sertifikat kompetensi setelah sarjana sesuai dengan tingkat dan bidang keahlian yang diajarkan yang dihasilkan oleh perguruan tinggi.</w:t>
      </w:r>
      <w:r w:rsidRPr="00EF3C02">
        <w:rPr>
          <w:rStyle w:val="FootnoteReference"/>
          <w:rFonts w:asciiTheme="majorBidi" w:hAnsiTheme="majorBidi" w:cstheme="majorBidi"/>
          <w:color w:val="000000"/>
          <w:sz w:val="24"/>
          <w:szCs w:val="24"/>
        </w:rPr>
        <w:footnoteReference w:id="11"/>
      </w:r>
    </w:p>
    <w:p w:rsidR="00BC1C95" w:rsidRPr="00EF3C02"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Sedangka kualifikasi </w:t>
      </w:r>
      <w:r>
        <w:rPr>
          <w:rFonts w:asciiTheme="majorBidi" w:hAnsiTheme="majorBidi" w:cstheme="majorBidi"/>
          <w:color w:val="000000"/>
          <w:sz w:val="24"/>
          <w:szCs w:val="24"/>
        </w:rPr>
        <w:t xml:space="preserve">secara </w:t>
      </w:r>
      <w:r w:rsidRPr="00EF3C02">
        <w:rPr>
          <w:rFonts w:asciiTheme="majorBidi" w:hAnsiTheme="majorBidi" w:cstheme="majorBidi"/>
          <w:color w:val="000000"/>
          <w:sz w:val="24"/>
          <w:szCs w:val="24"/>
        </w:rPr>
        <w:t>lebih rinci diatur dalam peraturan menteri pendidikan dan keb</w:t>
      </w:r>
      <w:r>
        <w:rPr>
          <w:rFonts w:asciiTheme="majorBidi" w:hAnsiTheme="majorBidi" w:cstheme="majorBidi"/>
          <w:color w:val="000000"/>
          <w:sz w:val="24"/>
          <w:szCs w:val="24"/>
        </w:rPr>
        <w:t>u</w:t>
      </w:r>
      <w:r w:rsidRPr="00EF3C02">
        <w:rPr>
          <w:rFonts w:asciiTheme="majorBidi" w:hAnsiTheme="majorBidi" w:cstheme="majorBidi"/>
          <w:color w:val="000000"/>
          <w:sz w:val="24"/>
          <w:szCs w:val="24"/>
        </w:rPr>
        <w:t>dayaan RI no 49 tahun 2014, di antaranya adalah sebagai berikut:</w:t>
      </w:r>
    </w:p>
    <w:p w:rsidR="00BC1C95" w:rsidRDefault="00BC1C95" w:rsidP="00BC1C95">
      <w:pPr>
        <w:spacing w:line="360" w:lineRule="auto"/>
        <w:jc w:val="both"/>
        <w:rPr>
          <w:rFonts w:asciiTheme="majorBidi" w:hAnsiTheme="majorBidi" w:cstheme="majorBidi"/>
          <w:sz w:val="24"/>
          <w:szCs w:val="24"/>
        </w:rPr>
      </w:pPr>
      <w:r w:rsidRPr="00EF3C02">
        <w:rPr>
          <w:rFonts w:asciiTheme="majorBidi" w:hAnsiTheme="majorBidi" w:cstheme="majorBidi"/>
          <w:color w:val="000000"/>
          <w:sz w:val="24"/>
          <w:szCs w:val="24"/>
        </w:rPr>
        <w:t xml:space="preserve">Pasal 26:  </w:t>
      </w:r>
      <w:r w:rsidRPr="00EE1D97">
        <w:rPr>
          <w:rFonts w:asciiTheme="majorBidi" w:hAnsiTheme="majorBidi" w:cstheme="majorBidi"/>
          <w:i/>
          <w:iCs/>
          <w:color w:val="000000"/>
          <w:sz w:val="24"/>
          <w:szCs w:val="24"/>
        </w:rPr>
        <w:t xml:space="preserve">(1) Dosen wajib memiliki kualifikasi akademik dan kompetensi pendidik, sehat jasmani dan rohani, serta memiliki kemampuan untuk menyelenggarakan pendidikan dalam rangka pemenuhan capaian pembelajaran lulusan sebagaimana dinyatakan dalam Pasal 5. (2) Kualifikasi akademik sebagaimana dimaksud pada ayat (1) merupakan tingkat pendidikan paling rendah yang harus dipenuhi oleh seorang dosen dan dibuktikan dengan ijazah. (3) Kompetensi pendidik sebagaimana dimaksud pada ayat (1) dinyatakan dengan sertifikat pendidik, dan/atau sertifikat profesi. (4) Dosen program diploma satu dan program diploma dua harus berkualifikasi akademik paling rendah lulusan </w:t>
      </w:r>
      <w:r w:rsidRPr="00EE1D97">
        <w:rPr>
          <w:rFonts w:asciiTheme="majorBidi" w:hAnsiTheme="majorBidi" w:cstheme="majorBidi"/>
          <w:i/>
          <w:iCs/>
          <w:color w:val="000000"/>
          <w:sz w:val="24"/>
          <w:szCs w:val="24"/>
        </w:rPr>
        <w:lastRenderedPageBreak/>
        <w:t>magister atau magister terapan yang relevan dengan program studi, dan dapat menggunakan instruktur yang berkualifikasi akademik paling rendah lulusan diploma tiga yang memiliki pengalaman relevan dengan program studi dan paling rendah setara dengan jenjang 6 (enam) KKNI). (5) Dosen program diploma tiga dan program diploma empat harus berkualifikasi akademik paling rendah lulusan magister atau magister terapan yang relevan dengan program studi, dan dapat menggunakan dosen bersertifikat profesi yang relevan dengan program studi dan berkualifikasi paling rendah setara dengan jenjang 8 (delapan) KKNI). (6) Dosen program sarjana harus berkualifikasi akademik paling rendah lulusan magister atau magister terapan yang relevan dengan program studi, dan dapat menggunakan dosen bersertifikat profesi yang relevan dengan program studi dan berkualifikasi paling rendah setara dengan jenjang 8 (delapan) KKNI) (7) Dosen program profesi harus berkualifikasi akademik paling rendah lulusan magister atau magister terapan yang relevan dengan program studi dan berpengalaman kerja paling sedikit 2 (dua) tahun, serta dapat menggunakan dosen bersertifikat profesi yang relevan dengan program studi, yang berpengalaman kerja paling sedikit 2 (dua) tahun, dan berkualifikasi paling rendah setara dengan jenjang 8 (delapan) KKNI). (8) Dosen program magister dan program   magister terapan harus berkualifikasi akademik lulusan doktor atau doktor terapan yang relevan dengan program studi, dan dapat menggunakan dosen bersertifikat profesi yang relevan dengan program studi dan berkualifikasi setara dengan jenjang 9 (delapan) KKNI). (9) Dosen program spesialis satu dan spesialis dua harus berkualifikasi lulusan spesialis dua, lulusan doktor atau lulusan doktor terapan yang relevan dengan program studi dan berpengalaman kerja paling sedikit 2 (dua) tahun.</w:t>
      </w:r>
      <w:r w:rsidRPr="00EF3C02">
        <w:rPr>
          <w:rStyle w:val="FootnoteReference"/>
          <w:rFonts w:asciiTheme="majorBidi" w:hAnsiTheme="majorBidi" w:cstheme="majorBidi"/>
          <w:color w:val="000000"/>
          <w:sz w:val="24"/>
          <w:szCs w:val="24"/>
        </w:rPr>
        <w:footnoteReference w:id="12"/>
      </w:r>
    </w:p>
    <w:p w:rsidR="00BC1C95" w:rsidRPr="007022D1"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Dalam regulasi lain, </w:t>
      </w:r>
      <w:r w:rsidRPr="00EF3C02">
        <w:rPr>
          <w:rFonts w:asciiTheme="majorBidi" w:hAnsiTheme="majorBidi" w:cstheme="majorBidi"/>
          <w:color w:val="000000"/>
          <w:sz w:val="24"/>
          <w:szCs w:val="24"/>
        </w:rPr>
        <w:t xml:space="preserve">untuk melaksanakan tugasnya, Dosen wajib memiliki kualifikasi akademik, kompetensi, sertifikat pendidik, sehat jasmani dan rohani, dan memenuhi kualifikasi lain yang dipersyaratkan satuan pendidikan tinggi tempat bertugas, serta memiliki kemampuan untuk mewujudkan tujuan </w:t>
      </w:r>
      <w:r w:rsidRPr="00EF3C02">
        <w:rPr>
          <w:rFonts w:asciiTheme="majorBidi" w:hAnsiTheme="majorBidi" w:cstheme="majorBidi"/>
          <w:color w:val="000000"/>
          <w:sz w:val="24"/>
          <w:szCs w:val="24"/>
        </w:rPr>
        <w:lastRenderedPageBreak/>
        <w:t>pendidikan nasional</w:t>
      </w:r>
      <w:r>
        <w:rPr>
          <w:rFonts w:asciiTheme="majorBidi" w:hAnsiTheme="majorBidi" w:cstheme="majorBidi"/>
          <w:color w:val="000000"/>
          <w:sz w:val="24"/>
          <w:szCs w:val="24"/>
        </w:rPr>
        <w:t xml:space="preserve">, sesuai amanat </w:t>
      </w:r>
      <w:r w:rsidRPr="007022D1">
        <w:rPr>
          <w:rFonts w:asciiTheme="majorBidi" w:hAnsiTheme="majorBidi" w:cstheme="majorBidi"/>
          <w:sz w:val="24"/>
          <w:szCs w:val="24"/>
        </w:rPr>
        <w:t>Undang-undang RI no 14 tahun 2005 tentang Guru dan Dosen</w:t>
      </w:r>
      <w:r w:rsidRPr="007022D1">
        <w:rPr>
          <w:rStyle w:val="FootnoteReference"/>
          <w:rFonts w:asciiTheme="majorBidi" w:hAnsiTheme="majorBidi" w:cstheme="majorBidi"/>
          <w:color w:val="000000"/>
          <w:sz w:val="26"/>
          <w:szCs w:val="26"/>
        </w:rPr>
        <w:t xml:space="preserve"> </w:t>
      </w:r>
      <w:r w:rsidRPr="007022D1">
        <w:rPr>
          <w:rStyle w:val="FootnoteReference"/>
          <w:rFonts w:asciiTheme="majorBidi" w:hAnsiTheme="majorBidi" w:cstheme="majorBidi"/>
          <w:color w:val="000000"/>
          <w:sz w:val="24"/>
          <w:szCs w:val="24"/>
        </w:rPr>
        <w:footnoteReference w:id="13"/>
      </w:r>
    </w:p>
    <w:p w:rsidR="00BC1C95" w:rsidRPr="00EF3C02"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Ketentuan ini diperjelas dengan ketentuan-ketentuan berikutnya dalam undang-undang yang sama, yakni undang-undang no 14 tahun 2014 tentang Guru dan Dosen</w:t>
      </w:r>
      <w:r>
        <w:rPr>
          <w:rFonts w:asciiTheme="majorBidi" w:hAnsiTheme="majorBidi" w:cstheme="majorBidi"/>
          <w:color w:val="000000"/>
          <w:sz w:val="24"/>
          <w:szCs w:val="24"/>
        </w:rPr>
        <w:t xml:space="preserve"> pada pasal-pasal berikutnya</w:t>
      </w:r>
      <w:r w:rsidRPr="00EF3C02">
        <w:rPr>
          <w:rFonts w:asciiTheme="majorBidi" w:hAnsiTheme="majorBidi" w:cstheme="majorBidi"/>
          <w:color w:val="000000"/>
          <w:sz w:val="24"/>
          <w:szCs w:val="24"/>
        </w:rPr>
        <w:t>. Di antaranya adalah sebagai berikut:</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Pasal 26 (1): </w:t>
      </w:r>
      <w:r w:rsidRPr="0078021E">
        <w:rPr>
          <w:rFonts w:asciiTheme="majorBidi" w:hAnsiTheme="majorBidi" w:cstheme="majorBidi"/>
          <w:i/>
          <w:iCs/>
          <w:color w:val="000000"/>
          <w:sz w:val="24"/>
          <w:szCs w:val="24"/>
        </w:rPr>
        <w:t>Kualifikasi akademik dosen sebagaimana dimaksud dalam Pasal 45 diperoleh melalui pendidikan tinggi program pascasarjana yang terakreditasi sesuai dengan bidang keahlian. (2) Dosen memiliki kualifikasi akademik minimum: a. lulusan program magister untuk program diploma atau program sarjana; dan b. lulusan program doktor untuk program pascasarjana. (3) Setiap orang yang memiliki keahlian dengan prestasi luar biasa dapat diangkat menjadi dosen (4) Ketentuan lain mengenai kualifikasi akademik sebagaimana dimaksud pada ayat (1) dan ayat (2) dan keahlian dengan prestasi luar biasa sebagaimana dimaksud pada ayat (3) ditentukan oleh masing-masing senat akademik satuan pendidikan tinggi</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Pasal 28 ayat (1): </w:t>
      </w:r>
      <w:r w:rsidRPr="0078021E">
        <w:rPr>
          <w:rFonts w:asciiTheme="majorBidi" w:hAnsiTheme="majorBidi" w:cstheme="majorBidi"/>
          <w:i/>
          <w:iCs/>
          <w:color w:val="000000"/>
          <w:sz w:val="24"/>
          <w:szCs w:val="24"/>
        </w:rPr>
        <w:t>Status dosen terdiri atas dosen tetap dan dosen tidak tetap. (4) Pengaturan kewenangan jenjang jabatan akademik dan dosen tidak-tetap ditetapkan oleh setiap satuan pendidikan tinggi sesuai dengan peraturan perundang-undangan</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Pasal 50: (1) </w:t>
      </w:r>
      <w:r w:rsidRPr="0078021E">
        <w:rPr>
          <w:rFonts w:asciiTheme="majorBidi" w:hAnsiTheme="majorBidi" w:cstheme="majorBidi"/>
          <w:i/>
          <w:iCs/>
          <w:color w:val="000000"/>
          <w:sz w:val="24"/>
          <w:szCs w:val="24"/>
        </w:rPr>
        <w:t xml:space="preserve">Setiap orang yang memiliki kualifikasi akademik dan kompetensi sebagaimana dimaksud dalam Pasal 45 mempunyai kesempatan yang sama untuk menjadi dosen. (2) Setiap orang, yang akan diangkat menjadi dosen sebagaimana dimaksud pada ayat (1), wajib mengikuti proses seleksi. (3) Setiap orang dapat diangkat secara langsung menduduki jenjang jabatan akademik tertentu berdasarkan hasil penilaian terhadap kualifikasi akademik, kompetensi, dan pengalaman yang dimiliki. (4) Ketentuan lebih lanjut mengenai seleksi sebagaimana dimaksud pada ayat (2) dan pengangkatan serta penetapan jenjang jabatan akademik tertentu sebagaimana dimaksud pada ayat (3) ditentukan oleh setiap </w:t>
      </w:r>
      <w:r w:rsidRPr="0078021E">
        <w:rPr>
          <w:rFonts w:asciiTheme="majorBidi" w:hAnsiTheme="majorBidi" w:cstheme="majorBidi"/>
          <w:i/>
          <w:iCs/>
          <w:color w:val="000000"/>
          <w:sz w:val="24"/>
          <w:szCs w:val="24"/>
        </w:rPr>
        <w:lastRenderedPageBreak/>
        <w:t>satuan pendidikan tinggi sesuai dengan peraturan perundang-undangan.</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Pasal 51 (1)</w:t>
      </w:r>
      <w:r w:rsidRPr="0078021E">
        <w:rPr>
          <w:rFonts w:asciiTheme="majorBidi" w:hAnsiTheme="majorBidi" w:cstheme="majorBidi"/>
          <w:i/>
          <w:iCs/>
          <w:color w:val="000000"/>
          <w:sz w:val="24"/>
          <w:szCs w:val="24"/>
        </w:rPr>
        <w:t xml:space="preserve"> Dalam melaksanakan tugas keprofesionalan, dosen berhak: a. memperoleh penghasilan di atas kebutuhan hidup minimum dan jaminan kesejahteraan sosial; b. mendapatkan promosi dan penghargaan sesuai dengan tugas dan prestasi kerja; c. memperoleh perlindungan dalam melaksanakan tugas dan hak atas kekayaan intelektual; d memperoleh   kesempatan   untuk   meningkatkan kompetensi, akses sumber belajar, informasi, sarana dan prasarana pembelajaran, serta penelitian dan pengabdian kepada masyarakat; e. memiliki kebebasan akademik, mimbar akademik, dan otonomi keilmuan; f. memiliki kebebasan dalam memberikan penilaian dan menentukan kelulusan peserta didik; dan g. memiliki kebebasan untuk berserikat dalam organisasi profesi/organisasi profesi keilmuan.</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 xml:space="preserve">Pasal 52 (1) </w:t>
      </w:r>
      <w:r w:rsidRPr="0078021E">
        <w:rPr>
          <w:rFonts w:asciiTheme="majorBidi" w:hAnsiTheme="majorBidi" w:cstheme="majorBidi"/>
          <w:i/>
          <w:iCs/>
          <w:color w:val="000000"/>
          <w:sz w:val="24"/>
          <w:szCs w:val="24"/>
        </w:rPr>
        <w:t>Penghasilan di atas kebutuhan hidup minimum sebagaimana dimaksud dalam Pasal 51 ayat (1) huruf a meliputi gaji pokok, tunjangan yang melekat pada gaji, serta penghasilan lain yang berupa tunjangan profesi, tunjangan fungsional, tunjangan khusus, tunjangan kehormatan, serta maslahat tambahan yang terkait dengan tugas sebagai dosen yang ditetapkan dengan prinsip penghargaan atas dasar prestasi. (2) Dosen yang diangkat oleh satuan pendidikan tinggi yang diselenggarakan oleh Pemerintah atau pemerintah daerah diberi gaji sesuai dengan peraturan perundang-undangan</w:t>
      </w:r>
      <w:r w:rsidRPr="00EF3C02">
        <w:rPr>
          <w:rFonts w:asciiTheme="majorBidi" w:hAnsiTheme="majorBidi" w:cstheme="majorBidi"/>
          <w:color w:val="000000"/>
          <w:sz w:val="24"/>
          <w:szCs w:val="24"/>
        </w:rPr>
        <w:t>.</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Pasal 57</w:t>
      </w:r>
      <w:r>
        <w:rPr>
          <w:rFonts w:asciiTheme="majorBidi" w:hAnsiTheme="majorBidi" w:cstheme="majorBidi"/>
          <w:color w:val="000000"/>
          <w:sz w:val="24"/>
          <w:szCs w:val="24"/>
        </w:rPr>
        <w:t>:</w:t>
      </w:r>
      <w:r w:rsidRPr="00EF3C02">
        <w:rPr>
          <w:rFonts w:asciiTheme="majorBidi" w:hAnsiTheme="majorBidi" w:cstheme="majorBidi"/>
          <w:color w:val="000000"/>
          <w:sz w:val="24"/>
          <w:szCs w:val="24"/>
        </w:rPr>
        <w:t xml:space="preserve"> (1) </w:t>
      </w:r>
      <w:r w:rsidRPr="0078021E">
        <w:rPr>
          <w:rFonts w:asciiTheme="majorBidi" w:hAnsiTheme="majorBidi" w:cstheme="majorBidi"/>
          <w:i/>
          <w:iCs/>
          <w:color w:val="000000"/>
          <w:sz w:val="24"/>
          <w:szCs w:val="24"/>
        </w:rPr>
        <w:t>Maslahat tambahan sebagaimana dimaksud dalam Pasal 52 ayat (1) merupakan tambahan kesejahteraan yang diperoleh dalam bentuk tunjangan pendidikan, asuransi pendidikan, beasiswa, dan penghargaan bagi dosen, serta kemudahan untuk memperoleh pendidikan bagi putra dan putri dosen, pelayanan kesehatan, atau bentuk kesejahteraan lain. (2) Pemerintah dan/atau pemerintah daerah menjamin terwujudnya maslahat tambahan sebagaimana dimaksud pada ayat (1)</w:t>
      </w:r>
      <w:r w:rsidRPr="00EF3C02">
        <w:rPr>
          <w:rFonts w:asciiTheme="majorBidi" w:hAnsiTheme="majorBidi" w:cstheme="majorBidi"/>
          <w:color w:val="000000"/>
          <w:sz w:val="24"/>
          <w:szCs w:val="24"/>
        </w:rPr>
        <w:t>.</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Pasal 60:</w:t>
      </w:r>
      <w:r w:rsidRPr="00EF3C02">
        <w:rPr>
          <w:rFonts w:asciiTheme="majorBidi" w:hAnsiTheme="majorBidi" w:cstheme="majorBidi"/>
          <w:color w:val="000000"/>
          <w:sz w:val="24"/>
          <w:szCs w:val="24"/>
        </w:rPr>
        <w:t xml:space="preserve"> </w:t>
      </w:r>
      <w:r w:rsidRPr="0078021E">
        <w:rPr>
          <w:rFonts w:asciiTheme="majorBidi" w:hAnsiTheme="majorBidi" w:cstheme="majorBidi"/>
          <w:i/>
          <w:iCs/>
          <w:color w:val="000000"/>
          <w:sz w:val="24"/>
          <w:szCs w:val="24"/>
        </w:rPr>
        <w:t xml:space="preserve">Dalam melaksanakan tugas keprofesionalannya, dosen berkewajiban: a. Melaksanakan pendidikan, penelitian dan pengabdian </w:t>
      </w:r>
      <w:r w:rsidRPr="0078021E">
        <w:rPr>
          <w:rFonts w:asciiTheme="majorBidi" w:hAnsiTheme="majorBidi" w:cstheme="majorBidi"/>
          <w:i/>
          <w:iCs/>
          <w:color w:val="000000"/>
          <w:sz w:val="24"/>
          <w:szCs w:val="24"/>
        </w:rPr>
        <w:lastRenderedPageBreak/>
        <w:t>kepada masyarakat, b. merencanakan, melaksanakan proses pembelajaran, serta menilai dan mengevaluasi hasil pembelajaran; c. meningkatkan dan mengembangkan kualifikasi akademik dan kompetensi secara berkelanjutan sejalan dengan perkembangan ilmu pengetahuan, teknologi, dan seni;  d. bertindak objektif dan tidak diskriminatif atas dasar pertimbangan jenis kelamin, agama, suku, ras, kondisi fisik tertentu, atau latar belakang sosioekonomi peserta didik dalam pembelajaran; e.  menjunjung tinggi peraturan perundang-undangan, hukum, dan kode etik, serta nilai-nilai agama dan etika; dan f.  memelihara dan memupuk persatuan dan kesatuan bangsa</w:t>
      </w:r>
      <w:r w:rsidRPr="00EF3C02">
        <w:rPr>
          <w:rFonts w:asciiTheme="majorBidi" w:hAnsiTheme="majorBidi" w:cstheme="majorBidi"/>
          <w:color w:val="000000"/>
          <w:sz w:val="24"/>
          <w:szCs w:val="24"/>
        </w:rPr>
        <w:t>.</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Pasal 67</w:t>
      </w:r>
      <w:r>
        <w:rPr>
          <w:rFonts w:asciiTheme="majorBidi" w:hAnsiTheme="majorBidi" w:cstheme="majorBidi"/>
          <w:color w:val="000000"/>
          <w:sz w:val="24"/>
          <w:szCs w:val="24"/>
        </w:rPr>
        <w:t>:</w:t>
      </w:r>
      <w:r w:rsidRPr="00EF3C02">
        <w:rPr>
          <w:rFonts w:asciiTheme="majorBidi" w:hAnsiTheme="majorBidi" w:cstheme="majorBidi"/>
          <w:color w:val="000000"/>
          <w:sz w:val="24"/>
          <w:szCs w:val="24"/>
        </w:rPr>
        <w:t xml:space="preserve"> (1) </w:t>
      </w:r>
      <w:r w:rsidRPr="0078021E">
        <w:rPr>
          <w:rFonts w:asciiTheme="majorBidi" w:hAnsiTheme="majorBidi" w:cstheme="majorBidi"/>
          <w:i/>
          <w:iCs/>
          <w:color w:val="000000"/>
          <w:sz w:val="24"/>
          <w:szCs w:val="24"/>
        </w:rPr>
        <w:t>Dosen dapat diberhentikan dengan hormat dari jabatan sebagai dosen karena: a. meninggal dunia; b. mencapai batas usia pensiun; c. atas permintaan sendiri; d. tidak dapat melaksanakan tugas secara terus-menerus selama 12 (dua belas) bulan karena sakit jasmani dan/atau rohani; atau e. berakhirnya perjanjian kerja atau kesepakatan kerja bersama antara dosen dan penyelenggara pendidikan. (2) Dosen dapat diberhentikan tidak dengan hormat dari jabatan sebagai dosen karena: a. melanggar sumpah dan janji jabatan; b. melanggar perjanjian kerja atau kesepakatan kerja bersama; atau c. melalaikan kewajiban dalam menjalankan tugas selama 1 (satu) bulan atau lebih secara terus-menerus. (4) Pemberhentian dosen karena batas usia pensiun sebagaimana dimaksud pada ayat (1) huruf b dilakukan pada usia 65 (enam puluh lima) tahun. (5) Profesor yang berprestasi dapat diperpanjang batas usia pensiunnya sampai 70 (tujuh puluh) tahun.</w:t>
      </w:r>
    </w:p>
    <w:p w:rsidR="00BC1C95" w:rsidRPr="00EF3C02"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Pasal 69</w:t>
      </w:r>
      <w:r>
        <w:rPr>
          <w:rFonts w:asciiTheme="majorBidi" w:hAnsiTheme="majorBidi" w:cstheme="majorBidi"/>
          <w:color w:val="000000"/>
          <w:sz w:val="24"/>
          <w:szCs w:val="24"/>
        </w:rPr>
        <w:t>:</w:t>
      </w:r>
      <w:r w:rsidRPr="00EF3C02">
        <w:rPr>
          <w:rFonts w:asciiTheme="majorBidi" w:hAnsiTheme="majorBidi" w:cstheme="majorBidi"/>
          <w:color w:val="000000"/>
          <w:sz w:val="24"/>
          <w:szCs w:val="24"/>
        </w:rPr>
        <w:t xml:space="preserve"> </w:t>
      </w:r>
      <w:r w:rsidRPr="0078021E">
        <w:rPr>
          <w:rFonts w:asciiTheme="majorBidi" w:hAnsiTheme="majorBidi" w:cstheme="majorBidi"/>
          <w:i/>
          <w:iCs/>
          <w:color w:val="000000"/>
          <w:sz w:val="24"/>
          <w:szCs w:val="24"/>
        </w:rPr>
        <w:t xml:space="preserve">(1) Pembinaan dan pengembangan dosen meliputi pembinaan dan pengembangan profesi dan karier. (2) Pembinaan dan pengembangan profesi dosen sebagaimana dimaksud pada ayat (1) meliputi kompetensi pedagogik, kompetensi kepribadian, kompetensi sosial, dan kompetensi profesional. (3) Pembinaan dan pengembangan profesi dosen dilakukan melalui jabatan fungsional sebagaimana dimaksud pada ayat (1). (4) Pembinaan dan pengembangan karier dosen sebagaimana dimaksud pada </w:t>
      </w:r>
      <w:r w:rsidRPr="0078021E">
        <w:rPr>
          <w:rFonts w:asciiTheme="majorBidi" w:hAnsiTheme="majorBidi" w:cstheme="majorBidi"/>
          <w:i/>
          <w:iCs/>
          <w:color w:val="000000"/>
          <w:sz w:val="24"/>
          <w:szCs w:val="24"/>
        </w:rPr>
        <w:lastRenderedPageBreak/>
        <w:t>ayat (1) meliputi penugasan, kenaikan pangkat, dan promosi</w:t>
      </w:r>
      <w:r w:rsidRPr="00EF3C02">
        <w:rPr>
          <w:rFonts w:asciiTheme="majorBidi" w:hAnsiTheme="majorBidi" w:cstheme="majorBidi"/>
          <w:color w:val="000000"/>
          <w:sz w:val="24"/>
          <w:szCs w:val="24"/>
        </w:rPr>
        <w:t xml:space="preserve"> </w:t>
      </w:r>
    </w:p>
    <w:p w:rsidR="00BC1C95" w:rsidRDefault="00BC1C95" w:rsidP="00BC1C95">
      <w:pPr>
        <w:pStyle w:val="ListParagraph"/>
        <w:widowControl w:val="0"/>
        <w:numPr>
          <w:ilvl w:val="0"/>
          <w:numId w:val="3"/>
        </w:numPr>
        <w:autoSpaceDE w:val="0"/>
        <w:autoSpaceDN w:val="0"/>
        <w:adjustRightInd w:val="0"/>
        <w:spacing w:after="0" w:line="360" w:lineRule="auto"/>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Pasal 72</w:t>
      </w:r>
      <w:r>
        <w:rPr>
          <w:rFonts w:asciiTheme="majorBidi" w:hAnsiTheme="majorBidi" w:cstheme="majorBidi"/>
          <w:color w:val="000000"/>
          <w:sz w:val="24"/>
          <w:szCs w:val="24"/>
        </w:rPr>
        <w:t>:</w:t>
      </w:r>
      <w:r w:rsidRPr="00EF3C02">
        <w:rPr>
          <w:rFonts w:asciiTheme="majorBidi" w:hAnsiTheme="majorBidi" w:cstheme="majorBidi"/>
          <w:color w:val="000000"/>
          <w:sz w:val="24"/>
          <w:szCs w:val="24"/>
        </w:rPr>
        <w:t xml:space="preserve"> </w:t>
      </w:r>
      <w:r w:rsidRPr="0078021E">
        <w:rPr>
          <w:rFonts w:asciiTheme="majorBidi" w:hAnsiTheme="majorBidi" w:cstheme="majorBidi"/>
          <w:i/>
          <w:iCs/>
          <w:color w:val="000000"/>
          <w:sz w:val="24"/>
          <w:szCs w:val="24"/>
        </w:rPr>
        <w:t>(1) Beban kerja dosen mencakup kegiatan pokok yaitu merencanakan  pembelajaran,  melaksanakan  proses pembelajaran,   melakukan   evaluasi   pembelajaran, membimbing dan melatih, melakukan penelitian, melakukan tugas tambahan, serta melakukan pengabdian kepada masyarakat (2) Beban kerja sebagaimana dimaksud pada ayat (1) sekurang- kurangnya sepadan dengan 12 (dua belas) satuan kredit semester dan sebanyak-banyaknya 16 (enam belas) satuan kredit semester</w:t>
      </w:r>
      <w:r>
        <w:rPr>
          <w:rFonts w:asciiTheme="majorBidi" w:hAnsiTheme="majorBidi" w:cstheme="majorBidi"/>
          <w:i/>
          <w:iCs/>
          <w:color w:val="000000"/>
          <w:sz w:val="24"/>
          <w:szCs w:val="24"/>
        </w:rPr>
        <w:t>.</w:t>
      </w:r>
    </w:p>
    <w:p w:rsidR="00BC1C95" w:rsidRDefault="00BC1C95" w:rsidP="00BC1C95">
      <w:pPr>
        <w:widowControl w:val="0"/>
        <w:autoSpaceDE w:val="0"/>
        <w:autoSpaceDN w:val="0"/>
        <w:adjustRightInd w:val="0"/>
        <w:spacing w:after="0" w:line="360" w:lineRule="auto"/>
        <w:ind w:firstLine="720"/>
        <w:jc w:val="both"/>
        <w:rPr>
          <w:rFonts w:asciiTheme="majorBidi" w:hAnsiTheme="majorBidi" w:cstheme="majorBidi"/>
          <w:sz w:val="24"/>
          <w:szCs w:val="24"/>
        </w:rPr>
      </w:pPr>
    </w:p>
    <w:p w:rsidR="00BC1C95" w:rsidRDefault="00BC1C95" w:rsidP="00BC1C95">
      <w:pPr>
        <w:widowControl w:val="0"/>
        <w:autoSpaceDE w:val="0"/>
        <w:autoSpaceDN w:val="0"/>
        <w:adjustRightInd w:val="0"/>
        <w:spacing w:after="0" w:line="360" w:lineRule="auto"/>
        <w:ind w:firstLine="720"/>
        <w:jc w:val="both"/>
        <w:rPr>
          <w:rFonts w:asciiTheme="majorBidi" w:hAnsiTheme="majorBidi" w:cstheme="majorBidi"/>
          <w:i/>
          <w:iCs/>
          <w:color w:val="000000"/>
          <w:sz w:val="24"/>
          <w:szCs w:val="24"/>
        </w:rPr>
      </w:pPr>
      <w:r>
        <w:rPr>
          <w:rFonts w:asciiTheme="majorBidi" w:hAnsiTheme="majorBidi" w:cstheme="majorBidi"/>
          <w:sz w:val="24"/>
          <w:szCs w:val="24"/>
        </w:rPr>
        <w:t xml:space="preserve">Dalam regulasi lain, disebutkan </w:t>
      </w:r>
      <w:r w:rsidRPr="00EF3C02">
        <w:rPr>
          <w:rFonts w:asciiTheme="majorBidi" w:hAnsiTheme="majorBidi" w:cstheme="majorBidi"/>
          <w:sz w:val="24"/>
          <w:szCs w:val="24"/>
        </w:rPr>
        <w:t xml:space="preserve">beban kerja dosen meliputi aspek pembelajaran, penelitian, pengbdian masyarakat dan unsur penunjang lainnya. Hal ini sesuai dengan isi pasal 27 Peraturan Menteri Pendidikan Dan Kebudayaan no 49 tahun 2014 tentang Standar Nasioanla Pendidikan Tinggi, yaitu: (1) </w:t>
      </w:r>
      <w:r w:rsidRPr="0078021E">
        <w:rPr>
          <w:rFonts w:asciiTheme="majorBidi" w:hAnsiTheme="majorBidi" w:cstheme="majorBidi"/>
          <w:i/>
          <w:iCs/>
          <w:color w:val="000000"/>
          <w:sz w:val="24"/>
          <w:szCs w:val="24"/>
        </w:rPr>
        <w:t>Penghitungan beban kerja dosen didasarkan antara lain pada: a. kegiatan pokok dosen mencakup: 1. perencanaan, pelaksanaan, dan pengendalian proses pembelajaran; 2. pelaksanaan evaluasi hasil pembelajaran; 3. pembimbingan dan pelatihan; 4. penelitian; dan 5. pengabdian kepada masyarakat; b. kegiatan dalam bentuk pelaksanaan tugas tambahan; dan c. kegiatan penunjang. (2) Beban kerja dosen sebagaimana dinyatakan pada ayat (1) paling sedikit 40 jam per minggu. (3) Beban kerja pada kegiatan pokok dosen sebagaimana dinyatakan pada ayat (1) huruf a paling sedikit setara dengan mengelola 12 sks beban belajar mahasiswa, bagi dosen yang tidak mendapatkan tugas tambahan antara lain berupa menjabat struktural. (4) Beban kerja pada kegiatan pokok dosen sebagaimana dinyatakan pada ayat (1) huruf a disesuaikan dengan besarnya beban tugas tambahan, bagi dosen yang mendapatkan tugas tambahan antara lain berupa menjabat struktural</w:t>
      </w:r>
      <w:r w:rsidRPr="00EF3C02">
        <w:rPr>
          <w:rFonts w:asciiTheme="majorBidi" w:hAnsiTheme="majorBidi" w:cstheme="majorBidi"/>
          <w:color w:val="000000"/>
          <w:sz w:val="24"/>
          <w:szCs w:val="24"/>
        </w:rPr>
        <w:t>.</w:t>
      </w:r>
      <w:r w:rsidRPr="00EF3C02">
        <w:rPr>
          <w:rStyle w:val="FootnoteReference"/>
          <w:rFonts w:asciiTheme="majorBidi" w:hAnsiTheme="majorBidi" w:cstheme="majorBidi"/>
          <w:color w:val="000000"/>
          <w:sz w:val="24"/>
          <w:szCs w:val="24"/>
        </w:rPr>
        <w:footnoteReference w:id="14"/>
      </w:r>
      <w:r w:rsidRPr="00EF3C02">
        <w:rPr>
          <w:rFonts w:asciiTheme="majorBidi" w:hAnsiTheme="majorBidi" w:cstheme="majorBidi"/>
          <w:color w:val="000000"/>
          <w:sz w:val="24"/>
          <w:szCs w:val="24"/>
        </w:rPr>
        <w:t xml:space="preserve"> </w:t>
      </w:r>
      <w:r w:rsidRPr="0078021E">
        <w:rPr>
          <w:rFonts w:asciiTheme="majorBidi" w:hAnsiTheme="majorBidi" w:cstheme="majorBidi"/>
          <w:i/>
          <w:iCs/>
          <w:color w:val="000000"/>
          <w:sz w:val="24"/>
          <w:szCs w:val="24"/>
        </w:rPr>
        <w:t>(6) Beban kerja dosen mengacu pada nisbah dosen dan mahasiswa yang diatur dalam pedoman rinci yang dikeluarkan oleh Direktur Jenderal</w:t>
      </w:r>
      <w:r>
        <w:rPr>
          <w:rFonts w:asciiTheme="majorBidi" w:hAnsiTheme="majorBidi" w:cstheme="majorBidi"/>
          <w:i/>
          <w:iCs/>
          <w:color w:val="000000"/>
          <w:sz w:val="24"/>
          <w:szCs w:val="24"/>
        </w:rPr>
        <w:t>.</w:t>
      </w:r>
      <w:r w:rsidRPr="0078021E">
        <w:rPr>
          <w:rFonts w:asciiTheme="majorBidi" w:hAnsiTheme="majorBidi" w:cstheme="majorBidi"/>
          <w:i/>
          <w:iCs/>
          <w:color w:val="000000"/>
          <w:sz w:val="24"/>
          <w:szCs w:val="24"/>
        </w:rPr>
        <w:t xml:space="preserve"> </w:t>
      </w:r>
    </w:p>
    <w:p w:rsidR="00BC1C95" w:rsidRPr="0078021E"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Pedoman yang dimaksud dituangkan dalam </w:t>
      </w:r>
      <w:r w:rsidRPr="0078021E">
        <w:rPr>
          <w:rFonts w:asciiTheme="majorBidi" w:hAnsiTheme="majorBidi" w:cstheme="majorBidi"/>
          <w:color w:val="000000"/>
          <w:sz w:val="24"/>
          <w:szCs w:val="24"/>
        </w:rPr>
        <w:t>Surat Edaran</w:t>
      </w:r>
      <w:r>
        <w:rPr>
          <w:rFonts w:asciiTheme="majorBidi" w:hAnsiTheme="majorBidi" w:cstheme="majorBidi"/>
          <w:color w:val="000000"/>
          <w:sz w:val="24"/>
          <w:szCs w:val="24"/>
        </w:rPr>
        <w:t xml:space="preserve"> Direktur Jenderal </w:t>
      </w:r>
      <w:r w:rsidRPr="0078021E">
        <w:rPr>
          <w:rFonts w:asciiTheme="majorBidi" w:hAnsiTheme="majorBidi" w:cstheme="majorBidi"/>
          <w:color w:val="000000"/>
          <w:sz w:val="24"/>
          <w:szCs w:val="24"/>
        </w:rPr>
        <w:t xml:space="preserve"> kepada pimpinan Perguruan Tingggi Keagamaan Islam. Surat edaran tersebut </w:t>
      </w:r>
      <w:r>
        <w:rPr>
          <w:rFonts w:asciiTheme="majorBidi" w:hAnsiTheme="majorBidi" w:cstheme="majorBidi"/>
          <w:color w:val="000000"/>
          <w:sz w:val="24"/>
          <w:szCs w:val="24"/>
        </w:rPr>
        <w:t>pada</w:t>
      </w:r>
      <w:r w:rsidRPr="0078021E">
        <w:rPr>
          <w:rFonts w:asciiTheme="majorBidi" w:hAnsiTheme="majorBidi" w:cstheme="majorBidi"/>
          <w:color w:val="000000"/>
          <w:sz w:val="24"/>
          <w:szCs w:val="24"/>
        </w:rPr>
        <w:t xml:space="preserve"> inti</w:t>
      </w:r>
      <w:r>
        <w:rPr>
          <w:rFonts w:asciiTheme="majorBidi" w:hAnsiTheme="majorBidi" w:cstheme="majorBidi"/>
          <w:color w:val="000000"/>
          <w:sz w:val="24"/>
          <w:szCs w:val="24"/>
        </w:rPr>
        <w:t>nya</w:t>
      </w:r>
      <w:r w:rsidRPr="0078021E">
        <w:rPr>
          <w:rFonts w:asciiTheme="majorBidi" w:hAnsiTheme="majorBidi" w:cstheme="majorBidi"/>
          <w:color w:val="000000"/>
          <w:sz w:val="24"/>
          <w:szCs w:val="24"/>
        </w:rPr>
        <w:t xml:space="preserve"> berisi satandar layanan sebagai berikut: </w:t>
      </w:r>
    </w:p>
    <w:p w:rsidR="00BC1C95" w:rsidRPr="00803191" w:rsidRDefault="00BC1C95" w:rsidP="00BC1C95">
      <w:pPr>
        <w:widowControl w:val="0"/>
        <w:autoSpaceDE w:val="0"/>
        <w:autoSpaceDN w:val="0"/>
        <w:adjustRightInd w:val="0"/>
        <w:spacing w:after="0" w:line="360" w:lineRule="auto"/>
        <w:ind w:left="567"/>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1. Rasio Dosen tetap terhadap mahasiswa 1 : 25</w:t>
      </w:r>
    </w:p>
    <w:p w:rsidR="00BC1C95" w:rsidRPr="00803191" w:rsidRDefault="00BC1C95" w:rsidP="00BC1C95">
      <w:pPr>
        <w:widowControl w:val="0"/>
        <w:autoSpaceDE w:val="0"/>
        <w:autoSpaceDN w:val="0"/>
        <w:adjustRightInd w:val="0"/>
        <w:spacing w:after="0" w:line="360" w:lineRule="auto"/>
        <w:ind w:left="567"/>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2. Ruang Kuliah : 2 m2 / mahasiswa</w:t>
      </w:r>
    </w:p>
    <w:p w:rsidR="00BC1C95" w:rsidRPr="00803191" w:rsidRDefault="00BC1C95" w:rsidP="00BC1C95">
      <w:pPr>
        <w:widowControl w:val="0"/>
        <w:autoSpaceDE w:val="0"/>
        <w:autoSpaceDN w:val="0"/>
        <w:adjustRightInd w:val="0"/>
        <w:spacing w:after="0" w:line="360" w:lineRule="auto"/>
        <w:ind w:left="567"/>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3. Ruang Laboratorium : 2 m2/ mahasiswa</w:t>
      </w:r>
    </w:p>
    <w:p w:rsidR="00BC1C95" w:rsidRPr="00803191" w:rsidRDefault="00BC1C95" w:rsidP="00BC1C95">
      <w:pPr>
        <w:widowControl w:val="0"/>
        <w:autoSpaceDE w:val="0"/>
        <w:autoSpaceDN w:val="0"/>
        <w:adjustRightInd w:val="0"/>
        <w:spacing w:after="0" w:line="360" w:lineRule="auto"/>
        <w:ind w:left="567"/>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4. Ruang Kerja dosen : 4 m2 / mahasiswa</w:t>
      </w:r>
    </w:p>
    <w:p w:rsidR="00BC1C95" w:rsidRPr="00803191" w:rsidRDefault="00BC1C95" w:rsidP="00BC1C95">
      <w:pPr>
        <w:widowControl w:val="0"/>
        <w:autoSpaceDE w:val="0"/>
        <w:autoSpaceDN w:val="0"/>
        <w:adjustRightInd w:val="0"/>
        <w:spacing w:after="0" w:line="360" w:lineRule="auto"/>
        <w:ind w:left="567"/>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5. Ruang Komputer : 1 m2 / mahasiswa</w:t>
      </w:r>
    </w:p>
    <w:p w:rsidR="00BC1C95" w:rsidRPr="00803191" w:rsidRDefault="00BC1C95" w:rsidP="00BC1C95">
      <w:pPr>
        <w:widowControl w:val="0"/>
        <w:autoSpaceDE w:val="0"/>
        <w:autoSpaceDN w:val="0"/>
        <w:adjustRightInd w:val="0"/>
        <w:spacing w:after="0" w:line="360" w:lineRule="auto"/>
        <w:ind w:left="567"/>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6. Akses Internet : 1 kbps/mahasiswa</w:t>
      </w:r>
    </w:p>
    <w:p w:rsidR="00BC1C95" w:rsidRPr="00803191" w:rsidRDefault="00BC1C95" w:rsidP="00BC1C95">
      <w:pPr>
        <w:widowControl w:val="0"/>
        <w:autoSpaceDE w:val="0"/>
        <w:autoSpaceDN w:val="0"/>
        <w:adjustRightInd w:val="0"/>
        <w:spacing w:after="0" w:line="360" w:lineRule="auto"/>
        <w:jc w:val="both"/>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Dengan menggunakan standart tersebut diatas maka jumlah mahasiswa yang dapat ditampung diperguruan tinggi dapat ditentukan. Dalam waktu dekat Ditjen DIKTI akan melakukan evaluasi apakah setiap perguruan tinggi telah memenuhi standart layanan tersebut diatas dan apabila terjadi ketidak sesuaian akan ditindaklanjuti dengan pengurangan jumlah mahasiswa atau penambahan fasilitas.</w:t>
      </w:r>
    </w:p>
    <w:p w:rsidR="00BC1C95" w:rsidRPr="00803191" w:rsidRDefault="00BC1C95" w:rsidP="00BC1C95">
      <w:pPr>
        <w:widowControl w:val="0"/>
        <w:autoSpaceDE w:val="0"/>
        <w:autoSpaceDN w:val="0"/>
        <w:adjustRightInd w:val="0"/>
        <w:spacing w:after="0" w:line="360" w:lineRule="auto"/>
        <w:jc w:val="both"/>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Bagi perguruan tinggi yang telah memenuhi standart layanan tersebut diatas dan berencana menambah jumlah mahasiswa, maka harus memenuhi syarat tambahan sebagai berikut :</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Publikasi Internasional minimal 1 judul/tahun/perguruan tinggi.</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Program penelitian minimal 62 judul/tahun/perguruan tinggi.</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jc w:val="both"/>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Program pengabdian masyarakat minimal 17 judul/tahun/perguruan tinggi.</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jc w:val="both"/>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Program  Pengembangan  Kreatifitas  Mahasiswa  minimal  66 judul/tahun/perguruan tinggi</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jc w:val="both"/>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Program perolehan paten : Teknologi Tepat Guna; pengembangan bahan ajar minimal 2 judul /tahun/perguruan tinggi.</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Indeks Prestasi Komulatif rata – rata lulusan</w:t>
      </w:r>
      <w:r w:rsidRPr="00803191">
        <w:rPr>
          <w:rFonts w:asciiTheme="majorBidi" w:hAnsiTheme="majorBidi" w:cstheme="majorBidi"/>
          <w:i/>
          <w:iCs/>
          <w:color w:val="000000"/>
          <w:sz w:val="24"/>
          <w:szCs w:val="24"/>
          <w:u w:val="single"/>
        </w:rPr>
        <w:t xml:space="preserve"> &gt;</w:t>
      </w:r>
      <w:r w:rsidRPr="00803191">
        <w:rPr>
          <w:rFonts w:asciiTheme="majorBidi" w:hAnsiTheme="majorBidi" w:cstheme="majorBidi"/>
          <w:i/>
          <w:iCs/>
          <w:color w:val="000000"/>
          <w:sz w:val="24"/>
          <w:szCs w:val="24"/>
        </w:rPr>
        <w:t xml:space="preserve"> 3.00</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Produktifitas pendidikan</w:t>
      </w:r>
      <w:r w:rsidRPr="00803191">
        <w:rPr>
          <w:rFonts w:asciiTheme="majorBidi" w:hAnsiTheme="majorBidi" w:cstheme="majorBidi"/>
          <w:i/>
          <w:iCs/>
          <w:color w:val="000000"/>
          <w:sz w:val="24"/>
          <w:szCs w:val="24"/>
          <w:u w:val="single"/>
        </w:rPr>
        <w:t xml:space="preserve"> &gt;</w:t>
      </w:r>
      <w:r w:rsidRPr="00803191">
        <w:rPr>
          <w:rFonts w:asciiTheme="majorBidi" w:hAnsiTheme="majorBidi" w:cstheme="majorBidi"/>
          <w:i/>
          <w:iCs/>
          <w:color w:val="000000"/>
          <w:sz w:val="24"/>
          <w:szCs w:val="24"/>
        </w:rPr>
        <w:t xml:space="preserve"> 20%</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Lama Studi rata – rata</w:t>
      </w:r>
      <w:r w:rsidRPr="00803191">
        <w:rPr>
          <w:rFonts w:asciiTheme="majorBidi" w:hAnsiTheme="majorBidi" w:cstheme="majorBidi"/>
          <w:i/>
          <w:iCs/>
          <w:color w:val="000000"/>
          <w:sz w:val="24"/>
          <w:szCs w:val="24"/>
          <w:u w:val="single"/>
        </w:rPr>
        <w:t xml:space="preserve"> &lt;</w:t>
      </w:r>
      <w:r w:rsidRPr="00803191">
        <w:rPr>
          <w:rFonts w:asciiTheme="majorBidi" w:hAnsiTheme="majorBidi" w:cstheme="majorBidi"/>
          <w:i/>
          <w:iCs/>
          <w:color w:val="000000"/>
          <w:sz w:val="24"/>
          <w:szCs w:val="24"/>
        </w:rPr>
        <w:t xml:space="preserve"> % 5 tahun</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Peringkat Akreditasi</w:t>
      </w:r>
      <w:r w:rsidRPr="00803191">
        <w:rPr>
          <w:rFonts w:asciiTheme="majorBidi" w:hAnsiTheme="majorBidi" w:cstheme="majorBidi"/>
          <w:i/>
          <w:iCs/>
          <w:color w:val="000000"/>
          <w:sz w:val="24"/>
          <w:szCs w:val="24"/>
          <w:u w:val="single"/>
        </w:rPr>
        <w:t xml:space="preserve"> &gt;</w:t>
      </w:r>
      <w:r w:rsidRPr="00803191">
        <w:rPr>
          <w:rFonts w:asciiTheme="majorBidi" w:hAnsiTheme="majorBidi" w:cstheme="majorBidi"/>
          <w:i/>
          <w:iCs/>
          <w:color w:val="000000"/>
          <w:sz w:val="24"/>
          <w:szCs w:val="24"/>
        </w:rPr>
        <w:t xml:space="preserve"> B</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t>Prestasi Perolehan hibah kompetisi</w:t>
      </w:r>
      <w:r w:rsidRPr="00803191">
        <w:rPr>
          <w:rFonts w:asciiTheme="majorBidi" w:hAnsiTheme="majorBidi" w:cstheme="majorBidi"/>
          <w:i/>
          <w:iCs/>
          <w:color w:val="000000"/>
          <w:sz w:val="24"/>
          <w:szCs w:val="24"/>
          <w:u w:val="single"/>
        </w:rPr>
        <w:t xml:space="preserve"> &gt;</w:t>
      </w:r>
      <w:r w:rsidRPr="00803191">
        <w:rPr>
          <w:rFonts w:asciiTheme="majorBidi" w:hAnsiTheme="majorBidi" w:cstheme="majorBidi"/>
          <w:i/>
          <w:iCs/>
          <w:color w:val="000000"/>
          <w:sz w:val="24"/>
          <w:szCs w:val="24"/>
        </w:rPr>
        <w:t xml:space="preserve"> 1</w:t>
      </w:r>
    </w:p>
    <w:p w:rsidR="00BC1C95" w:rsidRPr="00803191" w:rsidRDefault="00BC1C95" w:rsidP="00BC1C95">
      <w:pPr>
        <w:pStyle w:val="ListParagraph"/>
        <w:widowControl w:val="0"/>
        <w:numPr>
          <w:ilvl w:val="1"/>
          <w:numId w:val="4"/>
        </w:numPr>
        <w:autoSpaceDE w:val="0"/>
        <w:autoSpaceDN w:val="0"/>
        <w:adjustRightInd w:val="0"/>
        <w:spacing w:after="0" w:line="360" w:lineRule="auto"/>
        <w:ind w:left="993"/>
        <w:rPr>
          <w:rFonts w:asciiTheme="majorBidi" w:hAnsiTheme="majorBidi" w:cstheme="majorBidi"/>
          <w:i/>
          <w:iCs/>
          <w:color w:val="000000"/>
          <w:sz w:val="24"/>
          <w:szCs w:val="24"/>
        </w:rPr>
      </w:pPr>
      <w:r w:rsidRPr="00803191">
        <w:rPr>
          <w:rFonts w:asciiTheme="majorBidi" w:hAnsiTheme="majorBidi" w:cstheme="majorBidi"/>
          <w:i/>
          <w:iCs/>
          <w:color w:val="000000"/>
          <w:sz w:val="24"/>
          <w:szCs w:val="24"/>
        </w:rPr>
        <w:lastRenderedPageBreak/>
        <w:t>Jumlah program Pasca Sarjana</w:t>
      </w:r>
      <w:r w:rsidRPr="00803191">
        <w:rPr>
          <w:rFonts w:asciiTheme="majorBidi" w:hAnsiTheme="majorBidi" w:cstheme="majorBidi"/>
          <w:i/>
          <w:iCs/>
          <w:color w:val="000000"/>
          <w:sz w:val="24"/>
          <w:szCs w:val="24"/>
          <w:u w:val="single"/>
        </w:rPr>
        <w:t xml:space="preserve"> &gt;</w:t>
      </w:r>
      <w:r w:rsidRPr="00803191">
        <w:rPr>
          <w:rFonts w:asciiTheme="majorBidi" w:hAnsiTheme="majorBidi" w:cstheme="majorBidi"/>
          <w:i/>
          <w:iCs/>
          <w:color w:val="000000"/>
          <w:sz w:val="24"/>
          <w:szCs w:val="24"/>
        </w:rPr>
        <w:t xml:space="preserve"> 10</w:t>
      </w:r>
    </w:p>
    <w:p w:rsidR="00BC1C95" w:rsidRDefault="00BC1C95" w:rsidP="00BC1C95">
      <w:pPr>
        <w:widowControl w:val="0"/>
        <w:tabs>
          <w:tab w:val="left" w:pos="567"/>
        </w:tabs>
        <w:autoSpaceDE w:val="0"/>
        <w:autoSpaceDN w:val="0"/>
        <w:adjustRightInd w:val="0"/>
        <w:spacing w:after="0" w:line="360" w:lineRule="auto"/>
        <w:jc w:val="both"/>
        <w:rPr>
          <w:rFonts w:asciiTheme="majorBidi" w:hAnsiTheme="majorBidi" w:cstheme="majorBidi"/>
          <w:i/>
          <w:iCs/>
          <w:color w:val="000000"/>
          <w:sz w:val="24"/>
          <w:szCs w:val="24"/>
        </w:rPr>
      </w:pPr>
    </w:p>
    <w:p w:rsidR="00BC1C95" w:rsidRPr="00EF3C02" w:rsidRDefault="00BC1C95" w:rsidP="00BC1C95">
      <w:pPr>
        <w:widowControl w:val="0"/>
        <w:tabs>
          <w:tab w:val="left" w:pos="567"/>
        </w:tabs>
        <w:autoSpaceDE w:val="0"/>
        <w:autoSpaceDN w:val="0"/>
        <w:adjustRightInd w:val="0"/>
        <w:spacing w:after="0" w:line="360" w:lineRule="auto"/>
        <w:jc w:val="both"/>
        <w:rPr>
          <w:rFonts w:asciiTheme="majorBidi" w:hAnsiTheme="majorBidi" w:cstheme="majorBidi"/>
          <w:color w:val="000000"/>
          <w:sz w:val="24"/>
          <w:szCs w:val="24"/>
        </w:rPr>
      </w:pPr>
      <w:r w:rsidRPr="00803191">
        <w:rPr>
          <w:rFonts w:asciiTheme="majorBidi" w:hAnsiTheme="majorBidi" w:cstheme="majorBidi"/>
          <w:i/>
          <w:iCs/>
          <w:color w:val="000000"/>
          <w:sz w:val="24"/>
          <w:szCs w:val="24"/>
        </w:rPr>
        <w:t>Apabila perguruan tinggi dapat memenuhi syarat tambahan tersebut diatas, maka jumlah mahasiswa dapat ditambah antara 10 – 20 %</w:t>
      </w:r>
      <w:r w:rsidRPr="00EF3C02">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15"/>
      </w:r>
    </w:p>
    <w:p w:rsidR="00BC1C95"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p>
    <w:p w:rsidR="00BC1C95" w:rsidRPr="00EF3C02"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sidRPr="00EF3C02">
        <w:rPr>
          <w:rFonts w:asciiTheme="majorBidi" w:hAnsiTheme="majorBidi" w:cstheme="majorBidi"/>
          <w:color w:val="000000"/>
          <w:sz w:val="24"/>
          <w:szCs w:val="24"/>
        </w:rPr>
        <w:t>Nisbah perbandiangan dosen dan mahasiswa</w:t>
      </w:r>
      <w:r>
        <w:rPr>
          <w:rFonts w:asciiTheme="majorBidi" w:hAnsiTheme="majorBidi" w:cstheme="majorBidi"/>
          <w:color w:val="000000"/>
          <w:sz w:val="24"/>
          <w:szCs w:val="24"/>
        </w:rPr>
        <w:t xml:space="preserve"> tersebut</w:t>
      </w:r>
      <w:r w:rsidRPr="00EF3C02">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merupakan perubahan dari </w:t>
      </w:r>
      <w:r w:rsidRPr="00EF3C02">
        <w:rPr>
          <w:rFonts w:asciiTheme="majorBidi" w:hAnsiTheme="majorBidi" w:cstheme="majorBidi"/>
          <w:sz w:val="24"/>
          <w:szCs w:val="24"/>
        </w:rPr>
        <w:t>SK Dirjen DIKTI no 108/DIKTI/Kep/2001</w:t>
      </w:r>
      <w:r>
        <w:rPr>
          <w:rFonts w:asciiTheme="majorBidi" w:hAnsiTheme="majorBidi" w:cstheme="majorBidi"/>
          <w:sz w:val="24"/>
          <w:szCs w:val="24"/>
        </w:rPr>
        <w:t>, dimana pada SK tersebut</w:t>
      </w:r>
      <w:r w:rsidRPr="00EF3C02">
        <w:rPr>
          <w:rFonts w:asciiTheme="majorBidi" w:hAnsiTheme="majorBidi" w:cstheme="majorBidi"/>
          <w:color w:val="000000"/>
          <w:sz w:val="24"/>
          <w:szCs w:val="24"/>
        </w:rPr>
        <w:t xml:space="preserve"> rasio </w:t>
      </w:r>
      <w:r>
        <w:rPr>
          <w:rFonts w:asciiTheme="majorBidi" w:hAnsiTheme="majorBidi" w:cstheme="majorBidi"/>
          <w:color w:val="000000"/>
          <w:sz w:val="24"/>
          <w:szCs w:val="24"/>
        </w:rPr>
        <w:t xml:space="preserve">dosen dan mahasiswa adalah </w:t>
      </w:r>
      <w:r w:rsidRPr="00EF3C02">
        <w:rPr>
          <w:rFonts w:asciiTheme="majorBidi" w:hAnsiTheme="majorBidi" w:cstheme="majorBidi"/>
          <w:color w:val="000000"/>
          <w:sz w:val="24"/>
          <w:szCs w:val="24"/>
        </w:rPr>
        <w:t>1: 30 untuk kelompok bidang kajian sosial, dan 1:20 untuk bidang kajian IPA</w:t>
      </w:r>
      <w:r>
        <w:rPr>
          <w:rFonts w:asciiTheme="majorBidi" w:hAnsiTheme="majorBidi" w:cstheme="majorBidi"/>
          <w:color w:val="000000"/>
          <w:sz w:val="24"/>
          <w:szCs w:val="24"/>
        </w:rPr>
        <w:t>. Cuplikan dari isi SK Dirjen DIKTI tersebut adalah</w:t>
      </w:r>
      <w:r w:rsidRPr="00EF3C02">
        <w:rPr>
          <w:rFonts w:asciiTheme="majorBidi" w:hAnsiTheme="majorBidi" w:cstheme="majorBidi"/>
          <w:color w:val="000000"/>
          <w:sz w:val="24"/>
          <w:szCs w:val="24"/>
        </w:rPr>
        <w:t xml:space="preserve"> </w:t>
      </w:r>
      <w:r w:rsidRPr="00EF3C02">
        <w:rPr>
          <w:rFonts w:asciiTheme="majorBidi" w:hAnsiTheme="majorBidi" w:cstheme="majorBidi"/>
          <w:sz w:val="24"/>
          <w:szCs w:val="24"/>
        </w:rPr>
        <w:t>sebagai berikut:</w:t>
      </w:r>
    </w:p>
    <w:p w:rsidR="00BC1C95" w:rsidRDefault="00BC1C95" w:rsidP="00BC1C95">
      <w:pPr>
        <w:widowControl w:val="0"/>
        <w:autoSpaceDE w:val="0"/>
        <w:autoSpaceDN w:val="0"/>
        <w:adjustRightInd w:val="0"/>
        <w:spacing w:after="0" w:line="360" w:lineRule="auto"/>
        <w:ind w:firstLine="720"/>
        <w:jc w:val="both"/>
        <w:rPr>
          <w:rFonts w:asciiTheme="majorBidi" w:hAnsiTheme="majorBidi" w:cstheme="majorBidi"/>
          <w:i/>
          <w:iCs/>
          <w:color w:val="000000"/>
          <w:sz w:val="24"/>
          <w:szCs w:val="24"/>
        </w:rPr>
      </w:pPr>
      <w:r w:rsidRPr="00EF3C02">
        <w:rPr>
          <w:rFonts w:asciiTheme="majorBidi" w:hAnsiTheme="majorBidi" w:cstheme="majorBidi"/>
          <w:color w:val="000000"/>
          <w:sz w:val="24"/>
          <w:szCs w:val="24"/>
        </w:rPr>
        <w:t xml:space="preserve">Pasal 10: </w:t>
      </w:r>
      <w:r w:rsidRPr="00803191">
        <w:rPr>
          <w:rFonts w:asciiTheme="majorBidi" w:hAnsiTheme="majorBidi" w:cstheme="majorBidi"/>
          <w:i/>
          <w:iCs/>
          <w:color w:val="000000"/>
          <w:sz w:val="24"/>
          <w:szCs w:val="24"/>
        </w:rPr>
        <w:t>Untuk setiap program studi pada Program Diploma dan Program S1 jumlah calon mahasiswa sekurang-kurangnya 30 orang dan sebanyak-banyaknya disesuaikan dengan nisbah dosen tetap dengan mahasiswa, untuk kelompok bidang ilmu pengetahuan sosial 1 : 30 dan untuk kelompok bidang ilmu pengetahuan alam 1 : 20.</w:t>
      </w:r>
      <w:r w:rsidRPr="00803191">
        <w:rPr>
          <w:rStyle w:val="FootnoteReference"/>
          <w:rFonts w:asciiTheme="majorBidi" w:hAnsiTheme="majorBidi" w:cstheme="majorBidi"/>
          <w:i/>
          <w:iCs/>
          <w:color w:val="000000"/>
          <w:sz w:val="24"/>
          <w:szCs w:val="24"/>
        </w:rPr>
        <w:footnoteReference w:id="16"/>
      </w:r>
      <w:r w:rsidRPr="00803191">
        <w:rPr>
          <w:rFonts w:asciiTheme="majorBidi" w:hAnsiTheme="majorBidi" w:cstheme="majorBidi"/>
          <w:i/>
          <w:iCs/>
          <w:color w:val="000000"/>
          <w:sz w:val="24"/>
          <w:szCs w:val="24"/>
        </w:rPr>
        <w:t xml:space="preserve"> </w:t>
      </w:r>
    </w:p>
    <w:p w:rsidR="00BC1C95" w:rsidRDefault="00BC1C95" w:rsidP="00BC1C9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r>
        <w:rPr>
          <w:rFonts w:asciiTheme="majorBidi" w:hAnsiTheme="majorBidi" w:cstheme="majorBidi"/>
          <w:sz w:val="24"/>
          <w:szCs w:val="24"/>
        </w:rPr>
        <w:t xml:space="preserve">Sedankan </w:t>
      </w:r>
      <w:r w:rsidRPr="00803191">
        <w:rPr>
          <w:rFonts w:asciiTheme="majorBidi" w:hAnsiTheme="majorBidi" w:cstheme="majorBidi"/>
          <w:sz w:val="24"/>
          <w:szCs w:val="24"/>
        </w:rPr>
        <w:t xml:space="preserve">rasio perbandingan jumlah dosen tetap dengan  dosen tidak tetap di sebuah satuan pendidikan tinggi setidak-tidanya 75% (dosen tetap) ; 25% (dosen tidak tetap), sebagai mana termaktub dalam pasal 28 </w:t>
      </w:r>
      <w:r w:rsidRPr="00803191">
        <w:rPr>
          <w:rFonts w:asciiTheme="majorBidi" w:hAnsiTheme="majorBidi" w:cstheme="majorBidi"/>
          <w:sz w:val="26"/>
          <w:szCs w:val="26"/>
        </w:rPr>
        <w:t>Peraturan Men</w:t>
      </w:r>
      <w:r w:rsidRPr="00803191">
        <w:rPr>
          <w:rFonts w:asciiTheme="majorBidi" w:hAnsiTheme="majorBidi" w:cstheme="majorBidi"/>
          <w:sz w:val="24"/>
          <w:szCs w:val="24"/>
        </w:rPr>
        <w:t xml:space="preserve">teri pendidikan dan Kebudayaan RI no 49 tahun 2014 tentang Standar Nasioanal Pendidikan Tinggi, yaitu: </w:t>
      </w:r>
      <w:r w:rsidRPr="00803191">
        <w:rPr>
          <w:rFonts w:asciiTheme="majorBidi" w:hAnsiTheme="majorBidi" w:cstheme="majorBidi"/>
          <w:i/>
          <w:iCs/>
          <w:sz w:val="24"/>
          <w:szCs w:val="24"/>
        </w:rPr>
        <w:t xml:space="preserve">(3) </w:t>
      </w:r>
      <w:r w:rsidRPr="00803191">
        <w:rPr>
          <w:rFonts w:asciiTheme="majorBidi" w:hAnsiTheme="majorBidi" w:cstheme="majorBidi"/>
          <w:i/>
          <w:iCs/>
          <w:color w:val="000000"/>
          <w:sz w:val="24"/>
          <w:szCs w:val="24"/>
        </w:rPr>
        <w:t>Jumlah dosen tetap pada perguruan tinggi paling sedikit 75% (tujuh puluh lima persen) dari jumlah seluruh dosen (4) Jumlah dosen tetap yang ditugaskan secara penuh waktu untuk menjalankan proses pembelajaran pada setiap program studi paling sedikit 6 (enam) orang</w:t>
      </w:r>
      <w:r w:rsidRPr="00803191">
        <w:rPr>
          <w:rFonts w:asciiTheme="majorBidi" w:hAnsiTheme="majorBidi" w:cstheme="majorBidi"/>
          <w:color w:val="000000"/>
          <w:sz w:val="24"/>
          <w:szCs w:val="24"/>
        </w:rPr>
        <w:t>.</w:t>
      </w:r>
      <w:r w:rsidRPr="00EF3C02">
        <w:rPr>
          <w:rStyle w:val="FootnoteReference"/>
          <w:rFonts w:asciiTheme="majorBidi" w:hAnsiTheme="majorBidi" w:cstheme="majorBidi"/>
          <w:color w:val="000000"/>
          <w:sz w:val="24"/>
          <w:szCs w:val="24"/>
        </w:rPr>
        <w:footnoteReference w:id="17"/>
      </w:r>
    </w:p>
    <w:p w:rsidR="0079730F" w:rsidRDefault="0079730F" w:rsidP="00BC1C95">
      <w:pPr>
        <w:spacing w:line="360" w:lineRule="auto"/>
      </w:pPr>
    </w:p>
    <w:sectPr w:rsidR="0079730F" w:rsidSect="00BC1C95">
      <w:footerReference w:type="default" r:id="rId7"/>
      <w:pgSz w:w="11906" w:h="16838" w:code="9"/>
      <w:pgMar w:top="2268" w:right="1701" w:bottom="1701" w:left="2268"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7A1" w:rsidRDefault="00F857A1" w:rsidP="00BC1C95">
      <w:pPr>
        <w:spacing w:after="0" w:line="240" w:lineRule="auto"/>
      </w:pPr>
      <w:r>
        <w:separator/>
      </w:r>
    </w:p>
  </w:endnote>
  <w:endnote w:type="continuationSeparator" w:id="1">
    <w:p w:rsidR="00F857A1" w:rsidRDefault="00F857A1" w:rsidP="00BC1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273"/>
      <w:docPartObj>
        <w:docPartGallery w:val="Page Numbers (Bottom of Page)"/>
        <w:docPartUnique/>
      </w:docPartObj>
    </w:sdtPr>
    <w:sdtContent>
      <w:p w:rsidR="00BC1C95" w:rsidRDefault="00BC1C95">
        <w:pPr>
          <w:pStyle w:val="Footer"/>
          <w:jc w:val="right"/>
        </w:pPr>
        <w:fldSimple w:instr=" PAGE   \* MERGEFORMAT ">
          <w:r w:rsidR="006537F3">
            <w:rPr>
              <w:noProof/>
            </w:rPr>
            <w:t>44</w:t>
          </w:r>
        </w:fldSimple>
      </w:p>
    </w:sdtContent>
  </w:sdt>
  <w:p w:rsidR="00BC1C95" w:rsidRDefault="00BC1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7A1" w:rsidRDefault="00F857A1" w:rsidP="00BC1C95">
      <w:pPr>
        <w:spacing w:after="0" w:line="240" w:lineRule="auto"/>
      </w:pPr>
      <w:r>
        <w:separator/>
      </w:r>
    </w:p>
  </w:footnote>
  <w:footnote w:type="continuationSeparator" w:id="1">
    <w:p w:rsidR="00F857A1" w:rsidRDefault="00F857A1" w:rsidP="00BC1C95">
      <w:pPr>
        <w:spacing w:after="0" w:line="240" w:lineRule="auto"/>
      </w:pPr>
      <w:r>
        <w:continuationSeparator/>
      </w:r>
    </w:p>
  </w:footnote>
  <w:footnote w:id="2">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1 ayat (2) Peraturan Pemerintah (PP) Republik Indonesia No 4 tahun 2014 tentag Pengelolaan Pendidikan Tinggi.</w:t>
      </w:r>
    </w:p>
  </w:footnote>
  <w:footnote w:id="3">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1 ayat (5) Peraturan Pemerintah (PP) Republik Indonesia No 4 tahun 2014 tentag Pengelolaan Pendidikan Tinggi.</w:t>
      </w:r>
    </w:p>
  </w:footnote>
  <w:footnote w:id="4">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1 ayat (6) Peraturan Pemerintah (PP) Republik Indonesia No 4 tahun 2014 tentag Pengelolaan Pendidikan Tinggi. </w:t>
      </w:r>
    </w:p>
  </w:footnote>
  <w:footnote w:id="5">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24 ayat (1,2) Undang-undang RI no 20 tahun 2003 tentang Sistem pendidikan Nasioanl.</w:t>
      </w:r>
    </w:p>
  </w:footnote>
  <w:footnote w:id="6">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21 Peraturan Pemerintah (PP) Republik Indonesia No 4 tahun 2014 tentag Pengelolaan Pendidikan Tinggi</w:t>
      </w:r>
    </w:p>
  </w:footnote>
  <w:footnote w:id="7">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22 ayat (3) huf (b) Peraturan Pemerintah (PP) Republik Indonesia No 4 tahun 2014 tentag Pengelolaan Pendidikan Tinggi</w:t>
      </w:r>
    </w:p>
  </w:footnote>
  <w:footnote w:id="8">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23 ayat (4) huf (a, b) Peraturan Pemerintah (PP) Republik Indonesia No 4 tahun 2014 tentag Pengelolaan Pendidikan Tinggi</w:t>
      </w:r>
    </w:p>
  </w:footnote>
  <w:footnote w:id="9">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25 ayat (4) Peraturan Pemerintah (PP) Republik Indonesia No 4 tahun 2014 tentang Pengelolaan Pendidikan Tinggi. </w:t>
      </w:r>
    </w:p>
  </w:footnote>
  <w:footnote w:id="10">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w:t>
      </w:r>
      <w:r w:rsidRPr="002415B3">
        <w:rPr>
          <w:rFonts w:asciiTheme="majorBidi" w:hAnsiTheme="majorBidi" w:cstheme="majorBidi"/>
          <w:color w:val="000000"/>
        </w:rPr>
        <w:t xml:space="preserve">Pasal 28 </w:t>
      </w:r>
      <w:r w:rsidRPr="002415B3">
        <w:rPr>
          <w:rFonts w:asciiTheme="majorBidi" w:hAnsiTheme="majorBidi" w:cstheme="majorBidi"/>
        </w:rPr>
        <w:t>Peraturan Pemerintah No 19 tahun 2005 sebagaimana dirubah dengan peranturan Pemerintah No 32 tahun 2013 dan diubah lagi dengan PP no 13 tahun 2015 tentang Standar Nasional Pendidikan.</w:t>
      </w:r>
    </w:p>
  </w:footnote>
  <w:footnote w:id="11">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31 Peraturan Pemerintah No 19 tahun 2005 sebagaimana dirubah dengan peranturan Pemerintah No 32 tahun 2013 dan diubah lagi dengan PP no 13 tahun 2015 tentang Standar Nasional Pendidikan.</w:t>
      </w:r>
    </w:p>
  </w:footnote>
  <w:footnote w:id="12">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26 ayat (1-9) Peraturan Menteri pendidikan dan Kebudayaan RI no 49 tahun 2014 tentang Standar Nasioanal Pendidikan Tinggi. </w:t>
      </w:r>
    </w:p>
  </w:footnote>
  <w:footnote w:id="13">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45 Undang-undang RI no 14 tahun 2005 tentang Guru dan Dosen.</w:t>
      </w:r>
    </w:p>
  </w:footnote>
  <w:footnote w:id="14">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27 ayat (1-4,6) Peraturan Mendteri pendidikan dan Kebudayaan RI no 49 tahun 2014 tentang Standar Nasioanal Pendidikan Tinggi.</w:t>
      </w:r>
    </w:p>
  </w:footnote>
  <w:footnote w:id="15">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Surat Edaran (SE) Dirjen DIKTI no 2920/DT/2007</w:t>
      </w:r>
    </w:p>
  </w:footnote>
  <w:footnote w:id="16">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10 dari SK Kemendikbud no 234/U/2000 dan diperjelas dengan SK Dirjen DIKTI no 108/DIKTI/Kep/2001.</w:t>
      </w:r>
    </w:p>
  </w:footnote>
  <w:footnote w:id="17">
    <w:p w:rsidR="00BC1C95" w:rsidRPr="002415B3" w:rsidRDefault="00BC1C95" w:rsidP="00BC1C9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28 ayat (3-4) Peraturan Menteri pendidikan dan Kebudayaan RI no 49 tahun 2014 tentang Standar Nasioanal Pendidikan Tinggi.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D6608"/>
    <w:multiLevelType w:val="hybridMultilevel"/>
    <w:tmpl w:val="181421A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05E1180"/>
    <w:multiLevelType w:val="hybridMultilevel"/>
    <w:tmpl w:val="E3C4931E"/>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F286EEF"/>
    <w:multiLevelType w:val="hybridMultilevel"/>
    <w:tmpl w:val="C13E1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D14BF3"/>
    <w:multiLevelType w:val="hybridMultilevel"/>
    <w:tmpl w:val="771A833C"/>
    <w:lvl w:ilvl="0" w:tplc="0421000F">
      <w:start w:val="1"/>
      <w:numFmt w:val="decimal"/>
      <w:lvlText w:val="%1."/>
      <w:lvlJc w:val="left"/>
      <w:pPr>
        <w:ind w:left="720" w:hanging="360"/>
      </w:pPr>
    </w:lvl>
    <w:lvl w:ilvl="1" w:tplc="398E5D4A">
      <w:start w:val="1"/>
      <w:numFmt w:val="decimal"/>
      <w:lvlText w:val="%2."/>
      <w:lvlJc w:val="left"/>
      <w:pPr>
        <w:ind w:left="1440" w:hanging="360"/>
      </w:pPr>
      <w:rPr>
        <w:rFonts w:asciiTheme="majorBidi" w:eastAsiaTheme="minorHAnsi" w:hAnsiTheme="majorBidi" w:cstheme="maj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C1C95"/>
    <w:rsid w:val="00166EE8"/>
    <w:rsid w:val="003B0E4D"/>
    <w:rsid w:val="006537F3"/>
    <w:rsid w:val="0079730F"/>
    <w:rsid w:val="00BC1C95"/>
    <w:rsid w:val="00F857A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C95"/>
    <w:pPr>
      <w:ind w:left="720"/>
      <w:contextualSpacing/>
    </w:pPr>
  </w:style>
  <w:style w:type="paragraph" w:styleId="FootnoteText">
    <w:name w:val="footnote text"/>
    <w:aliases w:val=" Char"/>
    <w:basedOn w:val="Normal"/>
    <w:link w:val="FootnoteTextChar"/>
    <w:uiPriority w:val="99"/>
    <w:unhideWhenUsed/>
    <w:rsid w:val="00BC1C95"/>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BC1C95"/>
    <w:rPr>
      <w:sz w:val="20"/>
      <w:szCs w:val="20"/>
    </w:rPr>
  </w:style>
  <w:style w:type="character" w:styleId="FootnoteReference">
    <w:name w:val="footnote reference"/>
    <w:basedOn w:val="DefaultParagraphFont"/>
    <w:uiPriority w:val="99"/>
    <w:semiHidden/>
    <w:unhideWhenUsed/>
    <w:rsid w:val="00BC1C95"/>
    <w:rPr>
      <w:vertAlign w:val="superscript"/>
    </w:rPr>
  </w:style>
  <w:style w:type="paragraph" w:styleId="Header">
    <w:name w:val="header"/>
    <w:basedOn w:val="Normal"/>
    <w:link w:val="HeaderChar"/>
    <w:uiPriority w:val="99"/>
    <w:semiHidden/>
    <w:unhideWhenUsed/>
    <w:rsid w:val="00BC1C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C95"/>
  </w:style>
  <w:style w:type="paragraph" w:styleId="Footer">
    <w:name w:val="footer"/>
    <w:basedOn w:val="Normal"/>
    <w:link w:val="FooterChar"/>
    <w:uiPriority w:val="99"/>
    <w:unhideWhenUsed/>
    <w:rsid w:val="00BC1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C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2016-11-03T07:11:00Z</dcterms:created>
  <dcterms:modified xsi:type="dcterms:W3CDTF">2016-11-03T07:20:00Z</dcterms:modified>
</cp:coreProperties>
</file>