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0F" w:rsidRPr="009F6130" w:rsidRDefault="00680E83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6130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680E83" w:rsidRPr="009F6130" w:rsidRDefault="00ED16D7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9F6130" w:rsidRPr="0076387B" w:rsidRDefault="009F6130" w:rsidP="0064054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387B">
        <w:rPr>
          <w:rFonts w:asciiTheme="majorBidi" w:hAnsiTheme="majorBidi" w:cstheme="majorBidi"/>
          <w:b/>
          <w:bCs/>
          <w:sz w:val="24"/>
          <w:szCs w:val="24"/>
          <w:lang w:val="id-ID"/>
        </w:rPr>
        <w:t>Kesimpulan</w:t>
      </w:r>
    </w:p>
    <w:p w:rsidR="009F6130" w:rsidRDefault="0076387B" w:rsidP="0064054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Penelitian dengan fokus masalah </w:t>
      </w:r>
      <w:r w:rsidRPr="00886F37">
        <w:rPr>
          <w:rFonts w:asciiTheme="majorBidi" w:hAnsiTheme="majorBidi" w:cstheme="majorBidi"/>
          <w:sz w:val="24"/>
          <w:szCs w:val="24"/>
        </w:rPr>
        <w:t xml:space="preserve">cara </w:t>
      </w:r>
      <w:r w:rsidR="009F6130" w:rsidRPr="00886F37">
        <w:rPr>
          <w:rFonts w:asciiTheme="majorBidi" w:hAnsiTheme="majorBidi" w:cstheme="majorBidi"/>
          <w:sz w:val="24"/>
          <w:szCs w:val="24"/>
        </w:rPr>
        <w:t>meningkatkan kecerdasan emosional di dalam pengelolaan (manajemen) sumber daya manusia di Perguruan Tinggi Keagamaan Islam (PTKI)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ini melahirkan kesimpulan sebagai berikut:</w:t>
      </w:r>
    </w:p>
    <w:p w:rsidR="009F6130" w:rsidRDefault="009F6130" w:rsidP="00640544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86F37">
        <w:rPr>
          <w:rFonts w:asciiTheme="majorBidi" w:hAnsiTheme="majorBidi" w:cstheme="majorBidi"/>
          <w:sz w:val="24"/>
          <w:szCs w:val="24"/>
        </w:rPr>
        <w:t>Peningktan kecerdasa</w:t>
      </w:r>
      <w:r>
        <w:rPr>
          <w:rFonts w:asciiTheme="majorBidi" w:hAnsiTheme="majorBidi" w:cstheme="majorBidi"/>
          <w:sz w:val="24"/>
          <w:szCs w:val="24"/>
        </w:rPr>
        <w:t>n</w:t>
      </w:r>
      <w:r w:rsidRPr="00886F37">
        <w:rPr>
          <w:rFonts w:asciiTheme="majorBidi" w:hAnsiTheme="majorBidi" w:cstheme="majorBidi"/>
          <w:sz w:val="24"/>
          <w:szCs w:val="24"/>
        </w:rPr>
        <w:t xml:space="preserve"> emosional </w:t>
      </w:r>
      <w:r>
        <w:rPr>
          <w:rFonts w:asciiTheme="majorBidi" w:hAnsiTheme="majorBidi" w:cstheme="majorBidi"/>
          <w:sz w:val="24"/>
          <w:szCs w:val="24"/>
        </w:rPr>
        <w:t>dapat</w:t>
      </w:r>
      <w:r w:rsidRPr="00886F37">
        <w:rPr>
          <w:rFonts w:asciiTheme="majorBidi" w:hAnsiTheme="majorBidi" w:cstheme="majorBidi"/>
          <w:sz w:val="24"/>
          <w:szCs w:val="24"/>
        </w:rPr>
        <w:t xml:space="preserve"> dilakukan dengan menyeimbangkan emosi diri sendiri dengan emosi orang lain. Keseimbangan tersebut dilakukan dalam tiga hal utama, yakni mengenali emosi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 xml:space="preserve"> diri sendiri dan orang lain</w:t>
      </w:r>
      <w:r w:rsidRPr="00886F37">
        <w:rPr>
          <w:rFonts w:asciiTheme="majorBidi" w:hAnsiTheme="majorBidi" w:cstheme="majorBidi"/>
          <w:sz w:val="24"/>
          <w:szCs w:val="24"/>
        </w:rPr>
        <w:t>, mengelola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 xml:space="preserve"> emosi diri sendiri dan emosi orag lain, serta memotivasi diri sendiri dan orang lain dalam seluruh</w:t>
      </w:r>
      <w:r>
        <w:rPr>
          <w:rFonts w:asciiTheme="majorBidi" w:hAnsiTheme="majorBidi" w:cstheme="majorBidi"/>
          <w:sz w:val="24"/>
          <w:szCs w:val="24"/>
        </w:rPr>
        <w:t xml:space="preserve"> tahapan manajemen sumber daya manusia pendididikan tinggi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76387B">
        <w:rPr>
          <w:rFonts w:asciiTheme="majorBidi" w:hAnsiTheme="majorBidi" w:cstheme="majorBidi"/>
          <w:sz w:val="24"/>
          <w:szCs w:val="24"/>
        </w:rPr>
        <w:t xml:space="preserve">Ketiga </w:t>
      </w:r>
      <w:r>
        <w:rPr>
          <w:rFonts w:asciiTheme="majorBidi" w:hAnsiTheme="majorBidi" w:cstheme="majorBidi"/>
          <w:sz w:val="24"/>
          <w:szCs w:val="24"/>
        </w:rPr>
        <w:t xml:space="preserve">cara tersebut </w:t>
      </w:r>
      <w:r>
        <w:rPr>
          <w:rFonts w:asciiTheme="majorBidi" w:hAnsiTheme="majorBidi" w:cstheme="majorBidi"/>
          <w:sz w:val="24"/>
          <w:szCs w:val="24"/>
          <w:lang w:val="id-ID"/>
        </w:rPr>
        <w:t>dapat di</w:t>
      </w:r>
      <w:r>
        <w:rPr>
          <w:rFonts w:asciiTheme="majorBidi" w:hAnsiTheme="majorBidi" w:cstheme="majorBidi"/>
          <w:sz w:val="24"/>
          <w:szCs w:val="24"/>
        </w:rPr>
        <w:t xml:space="preserve">aplikasikan 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>dengan beberapa tahapan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berikut:</w:t>
      </w:r>
    </w:p>
    <w:p w:rsidR="009F6130" w:rsidRDefault="009F6130" w:rsidP="00640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Mengenali emosi diri sendiri sendiri dan sekaligus mengenali emosi orang lain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Bagian ini dapat dilakukan pada kegiatan manajemen sumber daya manusia dalam tindakan: a) </w:t>
      </w:r>
      <w:r w:rsidRPr="00A4760E">
        <w:rPr>
          <w:rFonts w:asciiTheme="majorBidi" w:hAnsiTheme="majorBidi" w:cstheme="majorBidi"/>
          <w:sz w:val="24"/>
          <w:szCs w:val="24"/>
        </w:rPr>
        <w:t>Rekrutmen pegawai baru</w:t>
      </w:r>
      <w:r>
        <w:rPr>
          <w:rFonts w:asciiTheme="majorBidi" w:hAnsiTheme="majorBidi" w:cstheme="majorBidi"/>
          <w:sz w:val="24"/>
          <w:szCs w:val="24"/>
          <w:lang w:val="id-ID"/>
        </w:rPr>
        <w:t>; dan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b) </w:t>
      </w:r>
      <w:r>
        <w:rPr>
          <w:rFonts w:asciiTheme="majorBidi" w:hAnsiTheme="majorBidi" w:cstheme="majorBidi"/>
          <w:sz w:val="24"/>
          <w:szCs w:val="24"/>
        </w:rPr>
        <w:t>Induksi pegawai (dosen) baru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F6130" w:rsidRDefault="009F6130" w:rsidP="00640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Mengelola emosi diri sendiri dan seka</w:t>
      </w:r>
      <w:r>
        <w:rPr>
          <w:rFonts w:asciiTheme="majorBidi" w:hAnsiTheme="majorBidi" w:cstheme="majorBidi"/>
          <w:sz w:val="24"/>
          <w:szCs w:val="24"/>
          <w:lang w:val="id-ID"/>
        </w:rPr>
        <w:t>l</w:t>
      </w:r>
      <w:r>
        <w:rPr>
          <w:rFonts w:asciiTheme="majorBidi" w:hAnsiTheme="majorBidi" w:cstheme="majorBidi"/>
          <w:sz w:val="24"/>
          <w:szCs w:val="24"/>
        </w:rPr>
        <w:t>igus mengelola emosi orang lain</w:t>
      </w:r>
      <w:r>
        <w:rPr>
          <w:rFonts w:asciiTheme="majorBidi" w:hAnsiTheme="majorBidi" w:cstheme="majorBidi"/>
          <w:sz w:val="24"/>
          <w:szCs w:val="24"/>
          <w:lang w:val="id-ID"/>
        </w:rPr>
        <w:t>. Hal ini diperlukan dalam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 xml:space="preserve"> beberapa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bidang pengelolaan sumber daya manusia seperti: a) </w:t>
      </w:r>
      <w:r w:rsidRPr="00A4760E">
        <w:rPr>
          <w:rFonts w:asciiTheme="majorBidi" w:hAnsiTheme="majorBidi" w:cstheme="majorBidi"/>
          <w:sz w:val="24"/>
          <w:szCs w:val="24"/>
        </w:rPr>
        <w:t>Penempatan pegawai</w:t>
      </w:r>
      <w:r>
        <w:rPr>
          <w:rFonts w:asciiTheme="majorBidi" w:hAnsiTheme="majorBidi" w:cstheme="majorBidi"/>
          <w:sz w:val="24"/>
          <w:szCs w:val="24"/>
        </w:rPr>
        <w:t xml:space="preserve"> (dosen)</w:t>
      </w:r>
      <w:r w:rsidRPr="00A4760E">
        <w:rPr>
          <w:rFonts w:asciiTheme="majorBidi" w:hAnsiTheme="majorBidi" w:cstheme="majorBidi"/>
          <w:sz w:val="24"/>
          <w:szCs w:val="24"/>
        </w:rPr>
        <w:t xml:space="preserve"> atau staf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; dan b) </w:t>
      </w:r>
      <w:r>
        <w:rPr>
          <w:rFonts w:asciiTheme="majorBidi" w:hAnsiTheme="majorBidi" w:cstheme="majorBidi"/>
          <w:sz w:val="24"/>
          <w:szCs w:val="24"/>
        </w:rPr>
        <w:t>P</w:t>
      </w:r>
      <w:r w:rsidRPr="00A4760E">
        <w:rPr>
          <w:rFonts w:asciiTheme="majorBidi" w:hAnsiTheme="majorBidi" w:cstheme="majorBidi"/>
          <w:sz w:val="24"/>
          <w:szCs w:val="24"/>
        </w:rPr>
        <w:t xml:space="preserve">emberian wewenang dan tanggung jawab pada </w:t>
      </w:r>
      <w:r>
        <w:rPr>
          <w:rFonts w:asciiTheme="majorBidi" w:hAnsiTheme="majorBidi" w:cstheme="majorBidi"/>
          <w:sz w:val="24"/>
          <w:szCs w:val="24"/>
        </w:rPr>
        <w:t>dosen</w:t>
      </w:r>
    </w:p>
    <w:p w:rsidR="009F6130" w:rsidRPr="0013223A" w:rsidRDefault="009F6130" w:rsidP="006405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Memotivasi diri sendiri sekaligus memotivasi orang lain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. Hal ini diaplikasikan dalam beberapa langkah manajemen sumber daya mansuia, seperti dalam: a) Pelaksanaan supervisi terhadap kinerja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pegawai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; b)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Pembinaan kesejahteraan dosen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; c)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Pembinaan karir dosen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; dan d)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Pemberian Pesangon</w:t>
      </w:r>
      <w:r w:rsidR="0013223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F6130" w:rsidRPr="0076387B" w:rsidRDefault="009F6130" w:rsidP="00640544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9F6130" w:rsidRPr="0076387B" w:rsidRDefault="009F6130" w:rsidP="00640544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387B">
        <w:rPr>
          <w:rFonts w:asciiTheme="majorBidi" w:hAnsiTheme="majorBidi" w:cstheme="majorBidi"/>
          <w:b/>
          <w:bCs/>
          <w:sz w:val="24"/>
          <w:szCs w:val="24"/>
          <w:lang w:val="id-ID"/>
        </w:rPr>
        <w:t>Saran</w:t>
      </w:r>
    </w:p>
    <w:p w:rsidR="00A35B61" w:rsidRPr="003745BB" w:rsidRDefault="00A35B61" w:rsidP="00640544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745BB">
        <w:rPr>
          <w:rFonts w:asciiTheme="majorBidi" w:eastAsia="Times New Roman" w:hAnsiTheme="majorBidi" w:cstheme="majorBidi"/>
          <w:sz w:val="24"/>
          <w:szCs w:val="24"/>
          <w:lang w:val="id-ID"/>
        </w:rPr>
        <w:lastRenderedPageBreak/>
        <w:t>Dengan memahami</w:t>
      </w:r>
      <w:r w:rsidR="0076387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dan</w:t>
      </w:r>
      <w:r w:rsidRPr="003745B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mendalami kecerdasan emosional dalam pengelolaan (manajemen) sumber daya mansuia di pendidikan tinggi,</w:t>
      </w:r>
      <w:r w:rsidRPr="003745B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 peneliti menyampaikan beberapa saran sebagai berikut:</w:t>
      </w:r>
    </w:p>
    <w:p w:rsidR="00A35B61" w:rsidRPr="003745BB" w:rsidRDefault="00A35B61" w:rsidP="00640544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3745BB">
        <w:rPr>
          <w:rFonts w:asciiTheme="majorBidi" w:hAnsiTheme="majorBidi" w:cstheme="majorBidi"/>
          <w:sz w:val="24"/>
          <w:szCs w:val="24"/>
          <w:lang w:val="id-ID"/>
        </w:rPr>
        <w:t>Pemegang kebijakan pendidika</w:t>
      </w:r>
      <w:r w:rsidR="0076387B">
        <w:rPr>
          <w:rFonts w:asciiTheme="majorBidi" w:hAnsiTheme="majorBidi" w:cstheme="majorBidi"/>
          <w:sz w:val="24"/>
          <w:szCs w:val="24"/>
          <w:lang w:val="id-ID"/>
        </w:rPr>
        <w:t>n, dalam hal ini pemerintah dan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pimpinan perguruan tinggi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, hendaknya merumuskan norma dan regulasi kependidikan yang berpihak pada aktualisasi nilai </w:t>
      </w:r>
      <w:r>
        <w:rPr>
          <w:rFonts w:asciiTheme="majorBidi" w:hAnsiTheme="majorBidi" w:cstheme="majorBidi"/>
          <w:sz w:val="24"/>
          <w:szCs w:val="24"/>
          <w:lang w:val="id-ID"/>
        </w:rPr>
        <w:t>kecerdasan emosional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pada 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>dari setiap manusia</w:t>
      </w:r>
    </w:p>
    <w:p w:rsidR="00A35B61" w:rsidRPr="003745BB" w:rsidRDefault="00A35B61" w:rsidP="00640544">
      <w:pPr>
        <w:pStyle w:val="ListParagraph"/>
        <w:numPr>
          <w:ilvl w:val="4"/>
          <w:numId w:val="7"/>
        </w:numPr>
        <w:spacing w:after="0" w:line="360" w:lineRule="auto"/>
        <w:ind w:left="851"/>
        <w:jc w:val="both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Pelaksana pendidikan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tinggi 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  <w:lang w:val="id-ID"/>
        </w:rPr>
        <w:t>pimpinan, dosen, mahasiswa, dan tenaga kependidikan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) hendaknya </w:t>
      </w:r>
      <w:r w:rsidRPr="003745B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mewujudkan iklim pendidikan yang mengaktualisasikan nilai-nilai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kecerdasan emosional</w:t>
      </w:r>
      <w:r w:rsidRPr="003745B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sebagaimana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diuraikan dalam </w:t>
      </w:r>
      <w:r w:rsidR="0076387B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paparan data dan analisa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hasil penelitian ini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. Tingkat pemahaman terhadap </w:t>
      </w:r>
      <w:r>
        <w:rPr>
          <w:rFonts w:asciiTheme="majorBidi" w:hAnsiTheme="majorBidi" w:cstheme="majorBidi"/>
          <w:sz w:val="24"/>
          <w:szCs w:val="24"/>
          <w:lang w:val="id-ID"/>
        </w:rPr>
        <w:t>emosi diri dan orang lain</w:t>
      </w:r>
      <w:r w:rsidRPr="003745BB">
        <w:rPr>
          <w:rFonts w:asciiTheme="majorBidi" w:hAnsiTheme="majorBidi" w:cstheme="majorBidi"/>
          <w:sz w:val="24"/>
          <w:szCs w:val="24"/>
          <w:lang w:val="id-ID"/>
        </w:rPr>
        <w:t xml:space="preserve"> akan menjadi tolok ukur ketercapaian kecerdasan emosional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seluruh civitas akademika.</w:t>
      </w:r>
    </w:p>
    <w:p w:rsidR="00A35B61" w:rsidRDefault="00A35B61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35B61" w:rsidRDefault="00A35B61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0544" w:rsidRDefault="00640544" w:rsidP="0064054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71B70" w:rsidRPr="009F6130" w:rsidRDefault="00A35B61" w:rsidP="0064054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F6130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PUSTAKA</w:t>
      </w:r>
    </w:p>
    <w:p w:rsidR="001D5DAA" w:rsidRPr="009F6130" w:rsidRDefault="001D5DAA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 xml:space="preserve">Ainurrahman.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Belajar dan Pembelajaran. </w:t>
      </w:r>
      <w:r w:rsidRPr="009F6130">
        <w:rPr>
          <w:rFonts w:asciiTheme="majorBidi" w:hAnsiTheme="majorBidi" w:cstheme="majorBidi"/>
          <w:sz w:val="24"/>
          <w:szCs w:val="24"/>
        </w:rPr>
        <w:t>Bandung: Alfabeta. Bandung. 2008.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Baharuddin dan Esa Nur Wahyuni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Teori Belajar Dan Pembelajaran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9F6130">
        <w:rPr>
          <w:rFonts w:asciiTheme="majorBidi" w:hAnsiTheme="majorBidi" w:cstheme="majorBidi"/>
          <w:sz w:val="24"/>
          <w:szCs w:val="24"/>
        </w:rPr>
        <w:t xml:space="preserve">Jogyakarta: 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Ar-Ruzz Media, 2007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B70" w:rsidRPr="00A35B61" w:rsidRDefault="00E71B70" w:rsidP="00640544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B61">
        <w:rPr>
          <w:rFonts w:asciiTheme="majorBidi" w:hAnsiTheme="majorBidi" w:cstheme="majorBidi"/>
          <w:sz w:val="24"/>
          <w:szCs w:val="24"/>
        </w:rPr>
        <w:t xml:space="preserve">Bodgan, RC. dan S.J. Taylor. </w:t>
      </w:r>
      <w:r w:rsidRPr="00A35B61">
        <w:rPr>
          <w:rFonts w:asciiTheme="majorBidi" w:hAnsiTheme="majorBidi" w:cstheme="majorBidi"/>
          <w:i/>
          <w:iCs/>
          <w:sz w:val="24"/>
          <w:szCs w:val="24"/>
        </w:rPr>
        <w:t xml:space="preserve">Introduction to Qualitative Research Methods: A </w:t>
      </w:r>
      <w:r w:rsidR="00A35B61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A35B61">
        <w:rPr>
          <w:rFonts w:asciiTheme="majorBidi" w:hAnsiTheme="majorBidi" w:cstheme="majorBidi"/>
          <w:i/>
          <w:iCs/>
          <w:sz w:val="24"/>
          <w:szCs w:val="24"/>
        </w:rPr>
        <w:t>Phenomenological Approach to the Social Sciences.</w:t>
      </w:r>
      <w:r w:rsidRPr="00A35B61">
        <w:rPr>
          <w:rFonts w:asciiTheme="majorBidi" w:hAnsiTheme="majorBidi" w:cstheme="majorBidi"/>
          <w:sz w:val="24"/>
          <w:szCs w:val="24"/>
        </w:rPr>
        <w:t xml:space="preserve"> New York: John </w:t>
      </w:r>
      <w:r w:rsidR="00A35B61">
        <w:rPr>
          <w:rFonts w:asciiTheme="majorBidi" w:hAnsiTheme="majorBidi" w:cstheme="majorBidi"/>
          <w:sz w:val="24"/>
          <w:szCs w:val="24"/>
        </w:rPr>
        <w:tab/>
      </w:r>
      <w:r w:rsidRPr="00A35B61">
        <w:rPr>
          <w:rFonts w:asciiTheme="majorBidi" w:hAnsiTheme="majorBidi" w:cstheme="majorBidi"/>
          <w:sz w:val="24"/>
          <w:szCs w:val="24"/>
        </w:rPr>
        <w:t>Wiley and Sons. Inc.1985.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napToGrid w:val="0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napToGrid w:val="0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napToGrid w:val="0"/>
          <w:sz w:val="24"/>
          <w:szCs w:val="24"/>
        </w:rPr>
        <w:t>Fattah,</w:t>
      </w:r>
      <w:r w:rsidRPr="009F6130">
        <w:rPr>
          <w:rFonts w:asciiTheme="majorBidi" w:hAnsiTheme="majorBidi" w:cstheme="majorBidi"/>
          <w:snapToGrid w:val="0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napToGrid w:val="0"/>
          <w:sz w:val="24"/>
          <w:szCs w:val="24"/>
        </w:rPr>
        <w:t>Nanang</w:t>
      </w:r>
      <w:r w:rsidRPr="009F6130">
        <w:rPr>
          <w:rFonts w:asciiTheme="majorBidi" w:hAnsiTheme="majorBidi" w:cstheme="majorBidi"/>
          <w:snapToGrid w:val="0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snapToGrid w:val="0"/>
          <w:sz w:val="24"/>
          <w:szCs w:val="24"/>
        </w:rPr>
        <w:t>Landasan Manajemen Pendidikan</w:t>
      </w:r>
      <w:r w:rsidRPr="009F6130">
        <w:rPr>
          <w:rFonts w:asciiTheme="majorBidi" w:hAnsiTheme="majorBidi" w:cstheme="majorBidi"/>
          <w:i/>
          <w:snapToGrid w:val="0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snapToGrid w:val="0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napToGrid w:val="0"/>
          <w:sz w:val="24"/>
          <w:szCs w:val="24"/>
        </w:rPr>
        <w:t xml:space="preserve">Bandung: Remaja </w:t>
      </w:r>
      <w:r w:rsidR="00A35B61">
        <w:rPr>
          <w:rFonts w:asciiTheme="majorBidi" w:hAnsiTheme="majorBidi" w:cstheme="majorBidi"/>
          <w:snapToGrid w:val="0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napToGrid w:val="0"/>
          <w:sz w:val="24"/>
          <w:szCs w:val="24"/>
        </w:rPr>
        <w:t>Rosdakarya, 1996</w:t>
      </w:r>
      <w:r w:rsidRPr="009F6130">
        <w:rPr>
          <w:rFonts w:asciiTheme="majorBidi" w:hAnsiTheme="majorBidi" w:cstheme="majorBidi"/>
          <w:snapToGrid w:val="0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Flippo,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Edwin B.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Manajemen Personalia</w:t>
      </w:r>
      <w:r w:rsidRPr="009F6130">
        <w:rPr>
          <w:rFonts w:asciiTheme="majorBidi" w:hAnsiTheme="majorBidi" w:cstheme="majorBidi"/>
          <w:sz w:val="24"/>
          <w:szCs w:val="24"/>
        </w:rPr>
        <w:t>. Vol. 1 terj. Moh. Mas'ud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Jakarta: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Erlangga, 1996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Ginanjar,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Ary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ESQ Power: Sumber Inner Jiurney Melalui Al-Ihsan</w:t>
      </w:r>
      <w:r w:rsidRPr="009F6130">
        <w:rPr>
          <w:rFonts w:asciiTheme="majorBidi" w:hAnsiTheme="majorBidi" w:cstheme="majorBidi"/>
          <w:sz w:val="24"/>
          <w:szCs w:val="24"/>
        </w:rPr>
        <w:t xml:space="preserve"> Jakarta: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ARGA, 2007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Gorton,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Richard A.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School Administration: Challenge and Opurtunity for </w:t>
      </w:r>
      <w:r w:rsidR="00A35B61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Leandership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USA:Brown Company Publishers, 1976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B70" w:rsidRPr="00A35B61" w:rsidRDefault="00E71B70" w:rsidP="00640544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B61">
        <w:rPr>
          <w:rFonts w:asciiTheme="majorBidi" w:hAnsiTheme="majorBidi" w:cstheme="majorBidi"/>
          <w:sz w:val="24"/>
          <w:szCs w:val="24"/>
        </w:rPr>
        <w:t xml:space="preserve">Handoko, T. Hani. </w:t>
      </w:r>
      <w:r w:rsidRPr="00A35B61">
        <w:rPr>
          <w:rFonts w:asciiTheme="majorBidi" w:hAnsiTheme="majorBidi" w:cstheme="majorBidi"/>
          <w:i/>
          <w:iCs/>
          <w:sz w:val="24"/>
          <w:szCs w:val="24"/>
        </w:rPr>
        <w:t>Manajemen</w:t>
      </w:r>
      <w:r w:rsidRPr="00A35B61">
        <w:rPr>
          <w:rFonts w:asciiTheme="majorBidi" w:hAnsiTheme="majorBidi" w:cstheme="majorBidi"/>
          <w:sz w:val="24"/>
          <w:szCs w:val="24"/>
        </w:rPr>
        <w:t xml:space="preserve"> Edisi 2. Yogyakarta: BPFE, 1999.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Kartono,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Kartini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sz w:val="24"/>
          <w:szCs w:val="24"/>
        </w:rPr>
        <w:t>Pengantar Metodologi Riset Sosial</w:t>
      </w:r>
      <w:r w:rsidRPr="009F6130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Bandung: Mandar Maju,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1996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Malayu,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S.P. Hasibuan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Manajemen SDM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Jakarta: Bumi Aksara, 2000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color w:val="000000" w:themeColor="text1"/>
          <w:w w:val="99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</w:rPr>
        <w:lastRenderedPageBreak/>
        <w:t>Masdar, Sjahrazad, dan Jusuf</w:t>
      </w: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  <w:lang w:val="id-ID"/>
        </w:rPr>
        <w:t xml:space="preserve"> Sulika</w:t>
      </w: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</w:rPr>
        <w:t xml:space="preserve">. </w:t>
      </w:r>
      <w:r w:rsidRPr="009F6130">
        <w:rPr>
          <w:rFonts w:asciiTheme="majorBidi" w:hAnsiTheme="majorBidi" w:cstheme="majorBidi"/>
          <w:i/>
          <w:iCs/>
          <w:color w:val="000000" w:themeColor="text1"/>
          <w:w w:val="99"/>
          <w:sz w:val="24"/>
          <w:szCs w:val="24"/>
        </w:rPr>
        <w:t>Manajemen Sumber Daya Manusia Berbasis</w:t>
      </w:r>
      <w:r w:rsidRPr="009F6130">
        <w:rPr>
          <w:rFonts w:asciiTheme="majorBidi" w:hAnsiTheme="majorBidi" w:cstheme="majorBidi"/>
          <w:i/>
          <w:iCs/>
          <w:color w:val="000000" w:themeColor="text1"/>
          <w:w w:val="99"/>
          <w:sz w:val="24"/>
          <w:szCs w:val="24"/>
          <w:lang w:val="id-ID"/>
        </w:rPr>
        <w:t xml:space="preserve"> </w:t>
      </w:r>
      <w:r w:rsidR="00A35B61">
        <w:rPr>
          <w:rFonts w:asciiTheme="majorBidi" w:hAnsiTheme="majorBidi" w:cstheme="majorBidi"/>
          <w:i/>
          <w:iCs/>
          <w:color w:val="000000" w:themeColor="text1"/>
          <w:w w:val="99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i/>
          <w:iCs/>
          <w:color w:val="000000" w:themeColor="text1"/>
          <w:w w:val="99"/>
          <w:sz w:val="24"/>
          <w:szCs w:val="24"/>
        </w:rPr>
        <w:t>Kompetensi Untuk Pelayanan Publik.</w:t>
      </w: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</w:rPr>
        <w:t xml:space="preserve"> Surabaya: Airlangga University </w:t>
      </w:r>
      <w:r w:rsidR="00A35B61">
        <w:rPr>
          <w:rFonts w:asciiTheme="majorBidi" w:hAnsiTheme="majorBidi" w:cstheme="majorBidi"/>
          <w:color w:val="000000" w:themeColor="text1"/>
          <w:w w:val="99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</w:rPr>
        <w:t>Press</w:t>
      </w:r>
      <w:r w:rsidRPr="009F6130">
        <w:rPr>
          <w:rFonts w:asciiTheme="majorBidi" w:hAnsiTheme="majorBidi" w:cstheme="majorBidi"/>
          <w:color w:val="000000" w:themeColor="text1"/>
          <w:w w:val="99"/>
          <w:sz w:val="24"/>
          <w:szCs w:val="24"/>
          <w:lang w:val="id-ID"/>
        </w:rPr>
        <w:t>, 2009.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Moleong,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Lexy J.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Bandung: PT. Remaja Rosda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Karya, 2006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Mudlofir,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Ali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“Pendidikan Karakter Melalui Penanaman Etikoa Berkomunikasi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 xml:space="preserve">Dalam Al-Qur’an", dalam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Islamica: Jurnal Studi Keislaman</w:t>
      </w:r>
      <w:r w:rsidRPr="009F6130">
        <w:rPr>
          <w:rFonts w:asciiTheme="majorBidi" w:hAnsiTheme="majorBidi" w:cstheme="majorBidi"/>
          <w:sz w:val="24"/>
          <w:szCs w:val="24"/>
        </w:rPr>
        <w:t xml:space="preserve">, Vol.5 No. 2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(Maret 2011)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Mulyono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Manajemen Administrasi dan Organisasi Pendidikan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Jogjakarta: Ar-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Ruzz Media, 2014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Nasution</w:t>
      </w:r>
      <w:r w:rsidRPr="009F6130">
        <w:rPr>
          <w:rFonts w:asciiTheme="majorBidi" w:hAnsiTheme="majorBidi" w:cstheme="majorBidi"/>
          <w:i/>
          <w:sz w:val="24"/>
          <w:szCs w:val="24"/>
        </w:rPr>
        <w:t>,</w:t>
      </w:r>
      <w:r w:rsidRPr="009F6130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S. </w:t>
      </w:r>
      <w:r w:rsidRPr="009F6130">
        <w:rPr>
          <w:rFonts w:asciiTheme="majorBidi" w:hAnsiTheme="majorBidi" w:cstheme="majorBidi"/>
          <w:i/>
          <w:sz w:val="24"/>
          <w:szCs w:val="24"/>
        </w:rPr>
        <w:t>Metode Penelitian Naturalistik-Kualititif</w:t>
      </w:r>
      <w:r w:rsidRPr="009F6130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Bandung: Tarsito, 1992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71B70" w:rsidRPr="00A35B61" w:rsidRDefault="00E71B70" w:rsidP="00640544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35B61">
        <w:rPr>
          <w:rFonts w:asciiTheme="majorBidi" w:hAnsiTheme="majorBidi" w:cstheme="majorBidi"/>
          <w:sz w:val="24"/>
          <w:szCs w:val="24"/>
        </w:rPr>
        <w:t>Nawawi</w:t>
      </w:r>
      <w:r w:rsidRPr="00A35B61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35B61">
        <w:rPr>
          <w:rFonts w:asciiTheme="majorBidi" w:hAnsiTheme="majorBidi" w:cstheme="majorBidi"/>
          <w:sz w:val="24"/>
          <w:szCs w:val="24"/>
        </w:rPr>
        <w:t xml:space="preserve">H. Hadari. </w:t>
      </w:r>
      <w:r w:rsidRPr="00A35B61">
        <w:rPr>
          <w:rFonts w:asciiTheme="majorBidi" w:hAnsiTheme="majorBidi" w:cstheme="majorBidi"/>
          <w:i/>
          <w:sz w:val="24"/>
          <w:szCs w:val="24"/>
        </w:rPr>
        <w:t>Penelitian Terapan.</w:t>
      </w:r>
      <w:r w:rsidRPr="00A35B61">
        <w:rPr>
          <w:rFonts w:asciiTheme="majorBidi" w:hAnsiTheme="majorBidi" w:cstheme="majorBidi"/>
          <w:sz w:val="24"/>
          <w:szCs w:val="24"/>
        </w:rPr>
        <w:t xml:space="preserve"> Yogyakarta: UGM University </w:t>
      </w:r>
      <w:r w:rsidR="00A35B61">
        <w:rPr>
          <w:rFonts w:asciiTheme="majorBidi" w:hAnsiTheme="majorBidi" w:cstheme="majorBidi"/>
          <w:sz w:val="24"/>
          <w:szCs w:val="24"/>
        </w:rPr>
        <w:tab/>
      </w:r>
      <w:r w:rsidRPr="00A35B61">
        <w:rPr>
          <w:rFonts w:asciiTheme="majorBidi" w:hAnsiTheme="majorBidi" w:cstheme="majorBidi"/>
          <w:sz w:val="24"/>
          <w:szCs w:val="24"/>
        </w:rPr>
        <w:t>Press,1994.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Notoatmojdo,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Soekidjo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Pengembangan Sumber Daya Manusia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Jakarta: Rineka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Cipta, 2009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130">
        <w:rPr>
          <w:rFonts w:asciiTheme="majorBidi" w:hAnsiTheme="majorBidi" w:cstheme="majorBidi"/>
          <w:sz w:val="24"/>
          <w:szCs w:val="24"/>
        </w:rPr>
        <w:t xml:space="preserve">Peraturan Pemerintah No 19 tahun 2005 sebagaimana dirubah dengan peranturan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Pemerintah No 32 tahun 2013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dan diubah lagi dengan PP no 13 tahun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2015</w:t>
      </w:r>
      <w:r w:rsidRPr="009F6130">
        <w:rPr>
          <w:rFonts w:asciiTheme="majorBidi" w:hAnsiTheme="majorBidi" w:cstheme="majorBidi"/>
          <w:sz w:val="24"/>
          <w:szCs w:val="24"/>
        </w:rPr>
        <w:t xml:space="preserve"> tentang Standar Nasional Pendidikan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  <w:lang w:val="id-ID"/>
        </w:rPr>
        <w:t>Permendikbud no 49 tahun 2014 tentang Sistem Nasional Pendidikan Tinggi.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Permen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diknas </w:t>
      </w:r>
      <w:r w:rsidRPr="009F6130">
        <w:rPr>
          <w:rFonts w:asciiTheme="majorBidi" w:hAnsiTheme="majorBidi" w:cstheme="majorBidi"/>
          <w:sz w:val="24"/>
          <w:szCs w:val="24"/>
        </w:rPr>
        <w:t xml:space="preserve"> no 12 tahun 2007, Permen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diknas</w:t>
      </w:r>
      <w:r w:rsidRPr="009F6130">
        <w:rPr>
          <w:rFonts w:asciiTheme="majorBidi" w:hAnsiTheme="majorBidi" w:cstheme="majorBidi"/>
          <w:sz w:val="24"/>
          <w:szCs w:val="24"/>
        </w:rPr>
        <w:t xml:space="preserve"> no 13 tahun 2007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tentang standar </w:t>
      </w:r>
      <w:r w:rsidR="00A35B61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Tenaga pendidik dan kependidikan</w:t>
      </w:r>
    </w:p>
    <w:p w:rsidR="00A35B61" w:rsidRDefault="00A35B61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lastRenderedPageBreak/>
        <w:t>Rosidah,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Ambar Teguh Sulistiyani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Manajemen Sumber Daya Manusia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Yogyakarta: Graha Ilmu, 2009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Saodih,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Nana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9F6130">
        <w:rPr>
          <w:rFonts w:asciiTheme="majorBidi" w:hAnsiTheme="majorBidi" w:cstheme="majorBidi"/>
          <w:sz w:val="24"/>
          <w:szCs w:val="24"/>
        </w:rPr>
        <w:t>Sukmadinata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Landasan Psikologi Proses Pendidikan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Bandung: Remaja Rosdakarya, 2011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 xml:space="preserve">Siswanto, “ Membudayakan Nilai-Nilai Agama dalam Komunitas Sekolah” dalam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Karsa: Jurnal Sosial dan Budaya Keislaman</w:t>
      </w:r>
      <w:r w:rsidRPr="009F6130">
        <w:rPr>
          <w:rFonts w:asciiTheme="majorBidi" w:hAnsiTheme="majorBidi" w:cstheme="majorBidi"/>
          <w:sz w:val="24"/>
          <w:szCs w:val="24"/>
        </w:rPr>
        <w:t>, Vol. 22, No. 1 (Juni 2014)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SK Kemendikbud no 234/U/2000 dan diperjelas dengan SK Dirjen DIKTI no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108/DIKTI/Kep/2001.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Soetopo,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Hendiyat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9F6130">
        <w:rPr>
          <w:rFonts w:asciiTheme="majorBidi" w:hAnsiTheme="majorBidi" w:cstheme="majorBidi"/>
          <w:sz w:val="24"/>
          <w:szCs w:val="24"/>
        </w:rPr>
        <w:t>Wasty Soemanto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Kepemimpinan dan Supervisi </w:t>
      </w:r>
      <w:r w:rsid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Pendidikan </w:t>
      </w:r>
      <w:r w:rsidRPr="009F6130">
        <w:rPr>
          <w:rFonts w:asciiTheme="majorBidi" w:hAnsiTheme="majorBidi" w:cstheme="majorBidi"/>
          <w:sz w:val="24"/>
          <w:szCs w:val="24"/>
        </w:rPr>
        <w:t>(Jakarta: Bina Aksara, 1988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74CE">
        <w:rPr>
          <w:rFonts w:asciiTheme="majorBidi" w:hAnsiTheme="majorBidi" w:cstheme="majorBidi"/>
          <w:sz w:val="24"/>
          <w:szCs w:val="24"/>
          <w:lang w:val="id-ID"/>
        </w:rPr>
        <w:t>Solichin,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>Muchlis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Belajar: Aplikasi Teori-Teori Belajar Dalam Proses </w:t>
      </w:r>
      <w:r w:rsid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ab/>
      </w:r>
      <w:r w:rsidRP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>Pembelajaran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>Yogyakarta: SUKA Press UIN Sunan Kalijaga, 2012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74CE">
        <w:rPr>
          <w:rFonts w:asciiTheme="majorBidi" w:hAnsiTheme="majorBidi" w:cstheme="majorBidi"/>
          <w:sz w:val="24"/>
          <w:szCs w:val="24"/>
          <w:lang w:val="id-ID"/>
        </w:rPr>
        <w:t>Sudjana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 xml:space="preserve"> Nana dan Ibrahim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dan Penilaian Pendidikan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 xml:space="preserve"> Bandung: Sinar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>Baru Algesindo, 2009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474CE">
        <w:rPr>
          <w:rFonts w:asciiTheme="majorBidi" w:hAnsiTheme="majorBidi" w:cstheme="majorBidi"/>
          <w:sz w:val="24"/>
          <w:szCs w:val="24"/>
          <w:lang w:val="id-ID"/>
        </w:rPr>
        <w:t>Suprihatiningrum,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>Jamil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C474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474CE">
        <w:rPr>
          <w:rFonts w:asciiTheme="majorBidi" w:hAnsiTheme="majorBidi" w:cstheme="majorBidi"/>
          <w:i/>
          <w:iCs/>
          <w:sz w:val="24"/>
          <w:szCs w:val="24"/>
          <w:lang w:val="id-ID"/>
        </w:rPr>
        <w:t>G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uru Profesional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Jogjakarta: Ar-Ruzz Media, 2013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  <w:lang w:val="id-ID"/>
        </w:rPr>
        <w:t>Surat Edaran (SE) Dirjen DIKTI no 2920/DT/2007.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Suwarno,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Tjutju Suniarsih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Manajemen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Sumber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Daya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Manusia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Bandung: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Alfabeta, 2011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Syah,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Muhibbin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Jakarta: Raja Grafindo Persada,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>2003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71B70" w:rsidRPr="00C474CE" w:rsidRDefault="00E71B70" w:rsidP="0064054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474CE">
        <w:rPr>
          <w:rFonts w:asciiTheme="majorBidi" w:hAnsiTheme="majorBidi" w:cstheme="majorBidi"/>
          <w:sz w:val="24"/>
          <w:szCs w:val="24"/>
        </w:rPr>
        <w:lastRenderedPageBreak/>
        <w:t xml:space="preserve">Tilaar, H.A.R. </w:t>
      </w:r>
      <w:r w:rsidRPr="00C474CE">
        <w:rPr>
          <w:rFonts w:asciiTheme="majorBidi" w:hAnsiTheme="majorBidi" w:cstheme="majorBidi"/>
          <w:i/>
          <w:iCs/>
          <w:sz w:val="24"/>
          <w:szCs w:val="24"/>
        </w:rPr>
        <w:t xml:space="preserve">Manajemen Pendidikan Nasional </w:t>
      </w:r>
      <w:r w:rsidRPr="00C474CE">
        <w:rPr>
          <w:rFonts w:asciiTheme="majorBidi" w:hAnsiTheme="majorBidi" w:cstheme="majorBidi"/>
          <w:sz w:val="24"/>
          <w:szCs w:val="24"/>
        </w:rPr>
        <w:t xml:space="preserve">(Bandung: Remaja Rosdakarya, </w:t>
      </w:r>
      <w:r w:rsidR="00C474CE">
        <w:rPr>
          <w:rFonts w:asciiTheme="majorBidi" w:hAnsiTheme="majorBidi" w:cstheme="majorBidi"/>
          <w:sz w:val="24"/>
          <w:szCs w:val="24"/>
        </w:rPr>
        <w:tab/>
      </w:r>
      <w:r w:rsidRPr="00C474CE">
        <w:rPr>
          <w:rFonts w:asciiTheme="majorBidi" w:hAnsiTheme="majorBidi" w:cstheme="majorBidi"/>
          <w:sz w:val="24"/>
          <w:szCs w:val="24"/>
        </w:rPr>
        <w:t>1992.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7D3A" w:rsidRPr="009F6130" w:rsidRDefault="00167D3A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Thoha, Mohammad. 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Pendidikan Islam.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Surabaya: Radja, 2016.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  <w:lang w:val="id-ID"/>
        </w:rPr>
        <w:t>Undang-Undang RI No 14 tahun 2005 tentang Guru dan Dosen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Undang-Undang RI ni 20 tahun 2003 tentang Sistem Pendidikan Nasional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474CE" w:rsidRPr="009F6130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Undang-Undang RI no 12 tahun 2012 tentang Penyelenggaraan Pendidikan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Tinggi</w:t>
      </w:r>
    </w:p>
    <w:p w:rsidR="00C474CE" w:rsidRDefault="00C474CE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Wardi,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F6130">
        <w:rPr>
          <w:rFonts w:asciiTheme="majorBidi" w:hAnsiTheme="majorBidi" w:cstheme="majorBidi"/>
          <w:sz w:val="24"/>
          <w:szCs w:val="24"/>
        </w:rPr>
        <w:t xml:space="preserve">Moh. “Penerapan Nilai Pendidikan Agama Islam dalam Perubahan Sosial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 xml:space="preserve">Remaja”, dalam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Tadris: Jurnal Pendidikan Islam</w:t>
      </w:r>
      <w:r w:rsidRPr="009F6130">
        <w:rPr>
          <w:rFonts w:asciiTheme="majorBidi" w:hAnsiTheme="majorBidi" w:cstheme="majorBidi"/>
          <w:sz w:val="24"/>
          <w:szCs w:val="24"/>
        </w:rPr>
        <w:t xml:space="preserve">, Vol 7, No. 1 (Juni </w:t>
      </w:r>
      <w:r w:rsidR="00C474CE">
        <w:rPr>
          <w:rFonts w:asciiTheme="majorBidi" w:hAnsiTheme="majorBidi" w:cstheme="majorBidi"/>
          <w:sz w:val="24"/>
          <w:szCs w:val="24"/>
          <w:lang w:val="id-ID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2012)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E71B70" w:rsidRPr="009F6130" w:rsidRDefault="00E71B70" w:rsidP="00640544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9F6130">
        <w:rPr>
          <w:rFonts w:asciiTheme="majorBidi" w:hAnsiTheme="majorBidi" w:cstheme="majorBidi"/>
          <w:sz w:val="24"/>
          <w:szCs w:val="24"/>
        </w:rPr>
        <w:t>Winarno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9F6130">
        <w:rPr>
          <w:rFonts w:asciiTheme="majorBidi" w:hAnsiTheme="majorBidi" w:cstheme="majorBidi"/>
          <w:sz w:val="24"/>
          <w:szCs w:val="24"/>
        </w:rPr>
        <w:t>A. dan Tri Saksono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Kecerdasan Emosional</w:t>
      </w:r>
      <w:r w:rsidRPr="009F6130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9F6130">
        <w:rPr>
          <w:rFonts w:asciiTheme="majorBidi" w:hAnsiTheme="majorBidi" w:cstheme="majorBidi"/>
          <w:sz w:val="24"/>
          <w:szCs w:val="24"/>
        </w:rPr>
        <w:t xml:space="preserve"> Jakarta: LAN, 2001</w:t>
      </w:r>
      <w:r w:rsidRPr="009F613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474CE" w:rsidRDefault="00C474CE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71B70" w:rsidRDefault="00E71B70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F6130">
        <w:rPr>
          <w:rFonts w:asciiTheme="majorBidi" w:hAnsiTheme="majorBidi" w:cstheme="majorBidi"/>
          <w:sz w:val="24"/>
          <w:szCs w:val="24"/>
        </w:rPr>
        <w:t xml:space="preserve">Yusuf, Muhammad. “Pendidikan Karakter Berbasis Qur’ani dan Kearifan Lokal” </w:t>
      </w:r>
      <w:r w:rsidR="00C474CE">
        <w:rPr>
          <w:rFonts w:asciiTheme="majorBidi" w:hAnsiTheme="majorBidi" w:cstheme="majorBidi"/>
          <w:sz w:val="24"/>
          <w:szCs w:val="24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 xml:space="preserve">dalam </w:t>
      </w:r>
      <w:r w:rsidRPr="009F6130">
        <w:rPr>
          <w:rFonts w:asciiTheme="majorBidi" w:hAnsiTheme="majorBidi" w:cstheme="majorBidi"/>
          <w:i/>
          <w:iCs/>
          <w:sz w:val="24"/>
          <w:szCs w:val="24"/>
        </w:rPr>
        <w:t>Karsa: Jurnal Sosial dan Budaya Keislaman</w:t>
      </w:r>
      <w:r w:rsidRPr="009F6130">
        <w:rPr>
          <w:rFonts w:asciiTheme="majorBidi" w:hAnsiTheme="majorBidi" w:cstheme="majorBidi"/>
          <w:sz w:val="24"/>
          <w:szCs w:val="24"/>
        </w:rPr>
        <w:t xml:space="preserve">, Vol. 22, No. 1 (Juni </w:t>
      </w:r>
      <w:r w:rsidR="00C474CE">
        <w:rPr>
          <w:rFonts w:asciiTheme="majorBidi" w:hAnsiTheme="majorBidi" w:cstheme="majorBidi"/>
          <w:sz w:val="24"/>
          <w:szCs w:val="24"/>
        </w:rPr>
        <w:tab/>
      </w:r>
      <w:r w:rsidRPr="009F6130">
        <w:rPr>
          <w:rFonts w:asciiTheme="majorBidi" w:hAnsiTheme="majorBidi" w:cstheme="majorBidi"/>
          <w:sz w:val="24"/>
          <w:szCs w:val="24"/>
        </w:rPr>
        <w:t>2014).</w:t>
      </w: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45248" w:rsidRDefault="00145248" w:rsidP="0064054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422DB" w:rsidRPr="0083336E" w:rsidRDefault="005422DB" w:rsidP="00640544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83336E">
        <w:rPr>
          <w:rFonts w:asciiTheme="majorBidi" w:hAnsiTheme="majorBidi" w:cstheme="majorBidi"/>
          <w:b/>
          <w:sz w:val="24"/>
          <w:szCs w:val="24"/>
          <w:lang w:val="it-IT"/>
        </w:rPr>
        <w:lastRenderedPageBreak/>
        <w:t>Daftar Riwayat Hidup</w:t>
      </w:r>
    </w:p>
    <w:tbl>
      <w:tblPr>
        <w:tblW w:w="7938" w:type="dxa"/>
        <w:tblInd w:w="108" w:type="dxa"/>
        <w:tblLook w:val="01E0"/>
      </w:tblPr>
      <w:tblGrid>
        <w:gridCol w:w="2552"/>
        <w:gridCol w:w="5386"/>
      </w:tblGrid>
      <w:tr w:rsidR="005422DB" w:rsidRPr="0083336E" w:rsidTr="00156D77">
        <w:tc>
          <w:tcPr>
            <w:tcW w:w="2552" w:type="dxa"/>
          </w:tcPr>
          <w:p w:rsidR="005422DB" w:rsidRPr="00F95B74" w:rsidRDefault="005422DB" w:rsidP="0064054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IDENTITAS </w:t>
            </w:r>
            <w:r w:rsidRPr="00F95B74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DIRI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it-IT"/>
              </w:rPr>
              <w:t>Nama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MOHAMMAD THOHA, M. Pd.I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F95B74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197605062006041002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it-IT"/>
              </w:rPr>
              <w:t>Alamat Rumah/HP.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: Dsn Berjateh laok Bungbaruh Kadur Pamekasan/08175023787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F95B74" w:rsidRDefault="005422DB" w:rsidP="00640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Pangkat/Golongan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:Pembina/Iva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F95B74" w:rsidRDefault="005422DB" w:rsidP="00640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Bidang Keahlian</w:t>
            </w:r>
          </w:p>
        </w:tc>
        <w:tc>
          <w:tcPr>
            <w:tcW w:w="5386" w:type="dxa"/>
          </w:tcPr>
          <w:p w:rsidR="005422DB" w:rsidRDefault="005422DB" w:rsidP="0064054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:Manajemen Pendidikan Islam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Default="005422DB" w:rsidP="006405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5386" w:type="dxa"/>
          </w:tcPr>
          <w:p w:rsidR="005422DB" w:rsidRDefault="005422DB" w:rsidP="0064054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:Prodi MPI Jurusan Tarbiyah STAIN Pamekasan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HP/</w:t>
            </w:r>
            <w:r>
              <w:rPr>
                <w:rFonts w:asciiTheme="majorBidi" w:hAnsiTheme="majorBidi" w:cstheme="majorBidi"/>
                <w:sz w:val="24"/>
                <w:szCs w:val="24"/>
                <w:lang w:val="it-IT"/>
              </w:rPr>
              <w:t>e</w:t>
            </w:r>
            <w:r w:rsidRPr="0083336E">
              <w:rPr>
                <w:rFonts w:asciiTheme="majorBidi" w:hAnsiTheme="majorBidi" w:cstheme="majorBidi"/>
                <w:sz w:val="24"/>
                <w:szCs w:val="24"/>
                <w:lang w:val="it-IT"/>
              </w:rPr>
              <w:t>mail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:08175023787/</w:t>
            </w:r>
            <w:hyperlink r:id="rId7" w:history="1">
              <w:r w:rsidRPr="0083336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thohasumberjati@gmail.com</w:t>
              </w:r>
            </w:hyperlink>
          </w:p>
        </w:tc>
      </w:tr>
      <w:tr w:rsidR="005422DB" w:rsidRPr="0083336E" w:rsidTr="00156D77">
        <w:tc>
          <w:tcPr>
            <w:tcW w:w="2552" w:type="dxa"/>
          </w:tcPr>
          <w:p w:rsidR="005422DB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="005422DB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2DB" w:rsidRPr="0083336E" w:rsidTr="00156D77">
        <w:tc>
          <w:tcPr>
            <w:tcW w:w="2552" w:type="dxa"/>
          </w:tcPr>
          <w:p w:rsidR="005422DB" w:rsidRPr="00B30CC5" w:rsidRDefault="005422DB" w:rsidP="0064054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RIWAYAT PENDIDIKAN</w:t>
            </w:r>
          </w:p>
        </w:tc>
        <w:tc>
          <w:tcPr>
            <w:tcW w:w="5386" w:type="dxa"/>
          </w:tcPr>
          <w:p w:rsidR="005422DB" w:rsidRPr="0083336E" w:rsidRDefault="005422DB" w:rsidP="006405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S1 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IAIN Sunan Ampel Surabaya lulus tahu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2001</w:t>
            </w:r>
          </w:p>
          <w:p w:rsidR="005422DB" w:rsidRDefault="005422DB" w:rsidP="006405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S2 IAIN Sunan Ampel Surabaya Lulus tahun 200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5422DB" w:rsidRPr="00B30CC5" w:rsidRDefault="005422DB" w:rsidP="0064054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B30CC5">
              <w:rPr>
                <w:rFonts w:asciiTheme="majorBidi" w:hAnsiTheme="majorBidi" w:cstheme="majorBidi"/>
                <w:sz w:val="24"/>
                <w:szCs w:val="24"/>
              </w:rPr>
              <w:t xml:space="preserve">S3 </w:t>
            </w:r>
            <w:r w:rsidRPr="00B30C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UIN</w:t>
            </w:r>
            <w:r w:rsidRPr="00B30CC5">
              <w:rPr>
                <w:rFonts w:asciiTheme="majorBidi" w:hAnsiTheme="majorBidi" w:cstheme="majorBidi"/>
                <w:sz w:val="24"/>
                <w:szCs w:val="24"/>
              </w:rPr>
              <w:t xml:space="preserve"> Sunan Ampel Surabaya </w:t>
            </w:r>
            <w:r w:rsidRPr="00B30C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Lulus tahun 2015</w:t>
            </w: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5386" w:type="dxa"/>
          </w:tcPr>
          <w:p w:rsidR="005422DB" w:rsidRPr="0083336E" w:rsidRDefault="005422DB" w:rsidP="00640544">
            <w:pPr>
              <w:pStyle w:val="ListParagraph"/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</w:tc>
        <w:tc>
          <w:tcPr>
            <w:tcW w:w="5386" w:type="dxa"/>
          </w:tcPr>
          <w:p w:rsidR="005422DB" w:rsidRPr="00B30CC5" w:rsidRDefault="005422DB" w:rsidP="00640544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22DB" w:rsidRPr="0083336E" w:rsidTr="00156D77">
        <w:tc>
          <w:tcPr>
            <w:tcW w:w="2552" w:type="dxa"/>
          </w:tcPr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fi-FI"/>
              </w:rPr>
              <w:t>Karya Ilmiah /</w:t>
            </w:r>
          </w:p>
          <w:p w:rsidR="005422DB" w:rsidRPr="0083336E" w:rsidRDefault="005422DB" w:rsidP="0064054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  <w:lang w:val="fi-FI"/>
              </w:rPr>
              <w:t>Penelitian/ Buku/Modul</w:t>
            </w:r>
          </w:p>
        </w:tc>
        <w:tc>
          <w:tcPr>
            <w:tcW w:w="5386" w:type="dxa"/>
          </w:tcPr>
          <w:p w:rsidR="005422DB" w:rsidRPr="00787F27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Manajemen Pendidikan Islam: Konseptual dan Operasional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(Buku ISBN), Surabaya: Radja, 2016.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Perilaku Vandalisme Siswa di Lembaga Pendidikan Islam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, Jurnal Tadris Volume 9 Nomor 2 Desember 2014. 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Politik Dalam Peta Kajian Islam,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Kasyaf el-Fikr, Vol 1 No.1 Juni 2014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Libralismen Dalam Wacana Keislaman (Kajian Hukum, Politik, dan Pendidikan,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Urwatul Wutsqo, Vol. 3 No. 1 Maret 2014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Upaya Menekan Perilaku Fandalisme Siswa di Lembaga Pendidikan Islam (Studi Kasus di M. Ts.N. Kadur)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penelitian Individu, DIPA 2014 STAIN Pamekasan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Ulama Sebagai Institusi Elit Agama: Studi Tentang Gelar, Penghasilan dan Kedudukan Sosial Ulama Pada Masa Pertumbuhan dan Kejayaan Islam Serta Kasus Di Madura. 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Jurna Empirisma Vol. 23 No 1 Januari 2014.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Paradigma Baru Fiqh Perempuan: Studi Analisis Gender Mainstream Omid Safi dalam Agenda Muslim Progressive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. Jurna al-Ihkam Vol.8 No. 2 Desember 2013.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HORIZON PENDIDIKAN ISLAM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(Buku). Surabaya: Pena Salsabila 2013.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Politik Pendidikan Islam (Potret Sejarah Periode Klasik Sampai Abad Pertengahan)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Tadris Vol 8 No 1 Juni 2013 ISSN 1907-672X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Standar Kompetensi Madrasah Mu’adalah Pondok Pesantren Al-Hamidy Palengaan Pamekasan,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Penelitian DIPA STAIN Pamekasan tahun 2013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Orientasi Santri dalam Menempuh Pendidikan Pesantren di Pamekasan.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NUANSA. Vol. 10 No 01 Januar-Juni 2013. ISSN 1907-7211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Kontribusi Islam Pada Sains dan Teknologi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Urwatul Wutsqo, vol 1 No 2 September 2012. hal. 23-39 ISSN:2252-6</w:t>
            </w:r>
            <w:r w:rsidRPr="0083336E">
              <w:rPr>
                <w:rFonts w:asciiTheme="majorBidi" w:hAnsiTheme="majorBidi" w:cstheme="majorBidi"/>
              </w:rPr>
              <w:t>099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Kesetaraan Laki-laki dan perempun dalam Bidang Politik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Jurnal: Edu-Islamika, Vol 4. No 2 September 2012: 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Peran Pesantren Sebagai Agen Sumber Daya Manusia Profesional Berkualitas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, Jurnal ‘anil Islam, Vol. 5 No 1 Juni 2012: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Oreintasi Santri dalam menempuh Pendidikan Pesantren di Pamekasan,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Penelitian DIPA STAIN Pamekasan tahun 2012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Pembelajaran Bahasa Arab dengan Pendekatan Manajemen Berbsis Sekolah,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Jurnal OKARA, vol I Tahun VII Mei 2012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8333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>اهمية كفائة قواعد اللغة العربيية في تعميق العلوم الدينية</w:t>
            </w:r>
            <w:r w:rsidRPr="0083336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Jurnal OKARA, vol II Tahun VI Mei 2011: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Tawaran Konsep Manajemen Kesiswaan dalam Pendidikan Islam (buku ISBN) Surabaya, CV Lima-lima, 2010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Sejarah Pendidikan Islam ISBN, 2009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Dimensi Kemanusiaan dalam Pendidikan Islam (Persfektif al-Qur'an)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ISSN :</w:t>
            </w: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Dimensi Kemanusiaan dalam Pendidikan Islam (Persfektif al-Qur'an)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ISSN : 1907-672X, Tadris: Jurnal Pendidikan Islam, Vol 5 No.1 2008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Menyoal Kurikulum Pendidikan Kita: Telaah atas Gagalnya Misi Pendidikan sebagai Pusat Pengembangan Kemampuan Nilai, Dan Etika,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 xml:space="preserve"> al-Khairat:Juranal Pendidikan dan Studi 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Keislaman, Vol 1 No 1 April 2008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Islam Bicara tentang Gender: Telaah Atas Kesetaran Kaum Perempuan Dalam Hak Politik Dan Pendidikan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, al-Khairat:Jurnal Pendidikan dan Studi Keislaman, Vol 3 No 3 Pebruari 2010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Perkembangan Kebijakan Pendidikan: Studi Tentang Implementasi Manajemen Berbasis Sekolah</w:t>
            </w:r>
            <w:r w:rsidRPr="0083336E">
              <w:rPr>
                <w:rFonts w:asciiTheme="majorBidi" w:hAnsiTheme="majorBidi" w:cstheme="majorBidi"/>
                <w:sz w:val="24"/>
                <w:szCs w:val="24"/>
              </w:rPr>
              <w:t>, Tadris: Jurnal Pendidikan Islam, Vol 2 No.1 2007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Pemetaan Lembaga Pendidikan Islam di Kabupaten Pamekasan 2006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Memahami Makna “Kebebasan” dalam Pendidikan, (Nizamia: Jurnal Pendidikan dan Pemikiran Islam, Vol 6 No 1, 2003</w:t>
            </w:r>
          </w:p>
          <w:p w:rsidR="005422DB" w:rsidRPr="0083336E" w:rsidRDefault="005422DB" w:rsidP="00640544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360" w:lineRule="auto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3336E">
              <w:rPr>
                <w:rFonts w:asciiTheme="majorBidi" w:hAnsiTheme="majorBidi" w:cstheme="majorBidi"/>
                <w:sz w:val="24"/>
                <w:szCs w:val="24"/>
              </w:rPr>
              <w:t>Dll</w:t>
            </w:r>
          </w:p>
        </w:tc>
      </w:tr>
    </w:tbl>
    <w:p w:rsidR="005422DB" w:rsidRDefault="005422DB" w:rsidP="00640544">
      <w:pPr>
        <w:spacing w:line="360" w:lineRule="auto"/>
        <w:ind w:left="4320"/>
        <w:jc w:val="both"/>
        <w:rPr>
          <w:rFonts w:asciiTheme="majorBidi" w:hAnsiTheme="majorBidi" w:cstheme="majorBidi"/>
          <w:sz w:val="24"/>
          <w:szCs w:val="24"/>
        </w:rPr>
      </w:pPr>
    </w:p>
    <w:p w:rsidR="005422DB" w:rsidRPr="00967491" w:rsidRDefault="005422DB" w:rsidP="00640544">
      <w:pPr>
        <w:spacing w:line="360" w:lineRule="auto"/>
        <w:ind w:left="4320"/>
        <w:jc w:val="both"/>
        <w:rPr>
          <w:rFonts w:asciiTheme="majorBidi" w:hAnsiTheme="majorBidi" w:cstheme="majorBidi"/>
          <w:sz w:val="24"/>
          <w:szCs w:val="24"/>
        </w:rPr>
      </w:pPr>
      <w:r w:rsidRPr="0083336E">
        <w:rPr>
          <w:rFonts w:asciiTheme="majorBidi" w:hAnsiTheme="majorBidi" w:cstheme="majorBidi"/>
          <w:sz w:val="24"/>
          <w:szCs w:val="24"/>
        </w:rPr>
        <w:t xml:space="preserve">Pamekasan, </w:t>
      </w:r>
      <w:r>
        <w:rPr>
          <w:rFonts w:asciiTheme="majorBidi" w:hAnsiTheme="majorBidi" w:cstheme="majorBidi"/>
          <w:sz w:val="24"/>
          <w:szCs w:val="24"/>
        </w:rPr>
        <w:t>26 Oktober 2016</w:t>
      </w:r>
    </w:p>
    <w:p w:rsidR="005422DB" w:rsidRPr="0083336E" w:rsidRDefault="005422DB" w:rsidP="00640544">
      <w:pPr>
        <w:spacing w:after="0" w:line="360" w:lineRule="auto"/>
        <w:ind w:left="4321"/>
        <w:jc w:val="both"/>
        <w:rPr>
          <w:rFonts w:asciiTheme="majorBidi" w:hAnsiTheme="majorBidi" w:cstheme="majorBidi"/>
          <w:b/>
          <w:sz w:val="24"/>
          <w:szCs w:val="24"/>
        </w:rPr>
      </w:pPr>
      <w:r w:rsidRPr="0083336E">
        <w:rPr>
          <w:rFonts w:asciiTheme="majorBidi" w:hAnsiTheme="majorBidi" w:cstheme="majorBidi"/>
          <w:b/>
          <w:sz w:val="24"/>
          <w:szCs w:val="24"/>
        </w:rPr>
        <w:t>Dr. Mohammad Thoha, M. Pd.I</w:t>
      </w:r>
    </w:p>
    <w:p w:rsidR="005422DB" w:rsidRPr="0083336E" w:rsidRDefault="005422DB" w:rsidP="00640544">
      <w:pPr>
        <w:spacing w:after="0" w:line="360" w:lineRule="auto"/>
        <w:ind w:left="4321"/>
        <w:rPr>
          <w:rFonts w:asciiTheme="majorBidi" w:hAnsiTheme="majorBidi" w:cstheme="majorBidi"/>
          <w:sz w:val="24"/>
          <w:szCs w:val="24"/>
          <w:lang w:eastAsia="id-ID"/>
        </w:rPr>
      </w:pPr>
      <w:r w:rsidRPr="0083336E">
        <w:rPr>
          <w:rFonts w:asciiTheme="majorBidi" w:hAnsiTheme="majorBidi" w:cstheme="majorBidi"/>
          <w:sz w:val="24"/>
          <w:szCs w:val="24"/>
          <w:lang w:eastAsia="id-ID"/>
        </w:rPr>
        <w:t>NIP. 197605062006041002</w:t>
      </w:r>
    </w:p>
    <w:p w:rsidR="005422DB" w:rsidRDefault="005422DB" w:rsidP="00640544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sectPr w:rsidR="005422DB" w:rsidSect="002633B4">
      <w:footerReference w:type="default" r:id="rId8"/>
      <w:pgSz w:w="11906" w:h="16838" w:code="9"/>
      <w:pgMar w:top="2268" w:right="1701" w:bottom="1701" w:left="226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E1" w:rsidRDefault="00E85CE1" w:rsidP="0076387B">
      <w:pPr>
        <w:spacing w:after="0" w:line="240" w:lineRule="auto"/>
      </w:pPr>
      <w:r>
        <w:separator/>
      </w:r>
    </w:p>
  </w:endnote>
  <w:endnote w:type="continuationSeparator" w:id="1">
    <w:p w:rsidR="00E85CE1" w:rsidRDefault="00E85CE1" w:rsidP="007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Arabic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277"/>
      <w:docPartObj>
        <w:docPartGallery w:val="Page Numbers (Bottom of Page)"/>
        <w:docPartUnique/>
      </w:docPartObj>
    </w:sdtPr>
    <w:sdtContent>
      <w:p w:rsidR="002633B4" w:rsidRDefault="002633B4">
        <w:pPr>
          <w:pStyle w:val="Foot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76387B" w:rsidRDefault="00763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E1" w:rsidRDefault="00E85CE1" w:rsidP="0076387B">
      <w:pPr>
        <w:spacing w:after="0" w:line="240" w:lineRule="auto"/>
      </w:pPr>
      <w:r>
        <w:separator/>
      </w:r>
    </w:p>
  </w:footnote>
  <w:footnote w:type="continuationSeparator" w:id="1">
    <w:p w:rsidR="00E85CE1" w:rsidRDefault="00E85CE1" w:rsidP="0076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3D"/>
    <w:multiLevelType w:val="hybridMultilevel"/>
    <w:tmpl w:val="B2F269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608"/>
    <w:multiLevelType w:val="hybridMultilevel"/>
    <w:tmpl w:val="3960945E"/>
    <w:lvl w:ilvl="0" w:tplc="F3546D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61BFC"/>
    <w:multiLevelType w:val="hybridMultilevel"/>
    <w:tmpl w:val="56D2348E"/>
    <w:lvl w:ilvl="0" w:tplc="23000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94"/>
    <w:multiLevelType w:val="hybridMultilevel"/>
    <w:tmpl w:val="FBC8CE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82640"/>
    <w:multiLevelType w:val="hybridMultilevel"/>
    <w:tmpl w:val="7D1891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0196"/>
    <w:multiLevelType w:val="hybridMultilevel"/>
    <w:tmpl w:val="775A58C8"/>
    <w:lvl w:ilvl="0" w:tplc="64907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20108"/>
    <w:multiLevelType w:val="hybridMultilevel"/>
    <w:tmpl w:val="90405F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D1AC9"/>
    <w:multiLevelType w:val="hybridMultilevel"/>
    <w:tmpl w:val="E392F802"/>
    <w:lvl w:ilvl="0" w:tplc="29283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67BEE"/>
    <w:multiLevelType w:val="hybridMultilevel"/>
    <w:tmpl w:val="90E63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7A41AF2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D3A5B4E">
      <w:start w:val="1"/>
      <w:numFmt w:val="lowerLetter"/>
      <w:lvlText w:val="%3."/>
      <w:lvlJc w:val="right"/>
      <w:pPr>
        <w:ind w:left="2160" w:hanging="180"/>
      </w:pPr>
      <w:rPr>
        <w:rFonts w:ascii="Times New Arabic" w:eastAsiaTheme="minorHAnsi" w:hAnsi="Times New Arabic" w:cstheme="minorBidi"/>
      </w:rPr>
    </w:lvl>
    <w:lvl w:ilvl="3" w:tplc="F27E626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4EB4C214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1D0F"/>
    <w:multiLevelType w:val="hybridMultilevel"/>
    <w:tmpl w:val="090EC1F6"/>
    <w:lvl w:ilvl="0" w:tplc="099E4B86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B2E03"/>
    <w:multiLevelType w:val="hybridMultilevel"/>
    <w:tmpl w:val="BA029382"/>
    <w:lvl w:ilvl="0" w:tplc="6B843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0E88"/>
    <w:multiLevelType w:val="hybridMultilevel"/>
    <w:tmpl w:val="3A845D7E"/>
    <w:lvl w:ilvl="0" w:tplc="DAD4B0F8">
      <w:start w:val="1"/>
      <w:numFmt w:val="lowerLetter"/>
      <w:lvlText w:val="%1."/>
      <w:lvlJc w:val="right"/>
      <w:pPr>
        <w:ind w:left="2160" w:hanging="180"/>
      </w:pPr>
      <w:rPr>
        <w:rFonts w:ascii="Times New Arabic" w:eastAsiaTheme="minorHAnsi" w:hAnsi="Times New Arabic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2A2D"/>
    <w:multiLevelType w:val="hybridMultilevel"/>
    <w:tmpl w:val="D326D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E83"/>
    <w:rsid w:val="00025007"/>
    <w:rsid w:val="00030551"/>
    <w:rsid w:val="0013223A"/>
    <w:rsid w:val="00145248"/>
    <w:rsid w:val="00166EE8"/>
    <w:rsid w:val="00167D3A"/>
    <w:rsid w:val="001D5DAA"/>
    <w:rsid w:val="002633B4"/>
    <w:rsid w:val="002F1EE5"/>
    <w:rsid w:val="0037707F"/>
    <w:rsid w:val="005174C2"/>
    <w:rsid w:val="005422DB"/>
    <w:rsid w:val="00640544"/>
    <w:rsid w:val="00680E83"/>
    <w:rsid w:val="0076387B"/>
    <w:rsid w:val="00790159"/>
    <w:rsid w:val="0079730F"/>
    <w:rsid w:val="007A05F3"/>
    <w:rsid w:val="0090138D"/>
    <w:rsid w:val="00943933"/>
    <w:rsid w:val="009F6130"/>
    <w:rsid w:val="00A35B61"/>
    <w:rsid w:val="00AC2EE8"/>
    <w:rsid w:val="00AC4A48"/>
    <w:rsid w:val="00AF2867"/>
    <w:rsid w:val="00C474CE"/>
    <w:rsid w:val="00E70366"/>
    <w:rsid w:val="00E71B70"/>
    <w:rsid w:val="00E77B79"/>
    <w:rsid w:val="00E85CE1"/>
    <w:rsid w:val="00ED16D7"/>
    <w:rsid w:val="00F4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70"/>
    <w:pPr>
      <w:ind w:left="720"/>
      <w:contextualSpacing/>
    </w:pPr>
    <w:rPr>
      <w:lang w:val="en-US"/>
    </w:rPr>
  </w:style>
  <w:style w:type="paragraph" w:styleId="FootnoteText">
    <w:name w:val="footnote text"/>
    <w:aliases w:val=" Char"/>
    <w:basedOn w:val="Normal"/>
    <w:link w:val="FootnoteTextChar"/>
    <w:uiPriority w:val="99"/>
    <w:rsid w:val="00E71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E71B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6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87B"/>
  </w:style>
  <w:style w:type="paragraph" w:styleId="Footer">
    <w:name w:val="footer"/>
    <w:basedOn w:val="Normal"/>
    <w:link w:val="FooterChar"/>
    <w:uiPriority w:val="99"/>
    <w:unhideWhenUsed/>
    <w:rsid w:val="0076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7B"/>
  </w:style>
  <w:style w:type="character" w:styleId="Hyperlink">
    <w:name w:val="Hyperlink"/>
    <w:basedOn w:val="DefaultParagraphFont"/>
    <w:uiPriority w:val="99"/>
    <w:unhideWhenUsed/>
    <w:rsid w:val="00542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ohasumberja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2016-11-03T07:33:00Z</dcterms:created>
  <dcterms:modified xsi:type="dcterms:W3CDTF">2016-11-03T07:36:00Z</dcterms:modified>
</cp:coreProperties>
</file>